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60C8" w:rsidRDefault="000B60C8" w:rsidP="000B60C8">
      <w:pPr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Додаток</w:t>
      </w:r>
    </w:p>
    <w:p w:rsidR="000B60C8" w:rsidRDefault="000B60C8" w:rsidP="000B60C8">
      <w:pPr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 рішення сільської ради </w:t>
      </w:r>
    </w:p>
    <w:p w:rsidR="000B60C8" w:rsidRPr="007B7B03" w:rsidRDefault="000B60C8" w:rsidP="000B60C8">
      <w:pPr>
        <w:spacing w:after="0" w:line="240" w:lineRule="auto"/>
        <w:ind w:right="-143" w:firstLine="709"/>
        <w:jc w:val="righ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від 29.10.2024 №58-05/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VIII</w:t>
      </w:r>
    </w:p>
    <w:p w:rsidR="000B60C8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B60C8" w:rsidRPr="00BE1656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BE1656">
        <w:rPr>
          <w:rFonts w:ascii="Times New Roman" w:hAnsi="Times New Roman" w:cs="Times New Roman"/>
          <w:b/>
          <w:sz w:val="28"/>
          <w:szCs w:val="28"/>
          <w:highlight w:val="white"/>
        </w:rPr>
        <w:t>ПОЛОЖЕННЯ ПРО ШКІЛЬНИЙ ГРОМАДСЬКИЙ БЮДЖЕТ</w:t>
      </w:r>
    </w:p>
    <w:p w:rsidR="000B60C8" w:rsidRPr="00014CCF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proofErr w:type="spellStart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Степанківської</w:t>
      </w:r>
      <w:proofErr w:type="spellEnd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сільської територіальної громади</w:t>
      </w:r>
    </w:p>
    <w:p w:rsidR="000B60C8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Преамбула положення</w:t>
      </w:r>
    </w:p>
    <w:p w:rsidR="000B60C8" w:rsidRPr="00014CCF" w:rsidRDefault="000B60C8" w:rsidP="000B60C8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Шкільний громадський бюджет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–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це:</w:t>
      </w:r>
    </w:p>
    <w:p w:rsidR="000B60C8" w:rsidRPr="00014CCF" w:rsidRDefault="000B60C8" w:rsidP="000B60C8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інструмент для громадської участі учнів та учениць, що дає можливість поліпшити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їхній освітній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процес та позашкільний час. Це процес від подачі ідеї до підготовки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 шкільний конкурс та обрання учнями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-переможців, які в подальшому будуть реалізовані в межах закладу загальної середньої освіти.</w:t>
      </w:r>
    </w:p>
    <w:p w:rsidR="000B60C8" w:rsidRPr="00014CCF" w:rsidRDefault="000B60C8" w:rsidP="000B60C8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інструмент налагодження взаємодії, включення дітей і молоді у процес планування бюджету територіальної громади та реалізації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для розвитку громади.</w:t>
      </w:r>
    </w:p>
    <w:p w:rsidR="000B60C8" w:rsidRPr="00014CCF" w:rsidRDefault="000B60C8" w:rsidP="000B60C8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Результатом такого механізму є формування свідомих та відповідальних молодих громадян та громадянок, які активно залучені та впливають на розвиток і життєдіяльність своєї громади, голос яких є почутим, а думка – врахована.</w:t>
      </w:r>
    </w:p>
    <w:p w:rsidR="000B60C8" w:rsidRPr="00014CCF" w:rsidRDefault="000B60C8" w:rsidP="000B60C8">
      <w:pPr>
        <w:tabs>
          <w:tab w:val="left" w:pos="6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Шкільний громадський бюджет має на меті навчити учнів та учениць створювати і розробляти ідеї, готувати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комунікувати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і працювати в команді, розвинути відчуття причетності та важливості власного голосу. Під час створення та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формуються активні, свідомі та розумні молоді люди з критичним мисленням, які в майбутньому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братимуть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участь у прийнятті рішень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 громаді та суспільстві.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Розділ 1. Визначення термінів та загальні положення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1.1. Шкільний громадський бюджет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сільської територіальної   громади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(далі – ШГБ) – це конкурс через який органи місцевого самоврядування взаємодіють з дітьми та молоддю, що спрямований на залучення учнів системи закладів загальної середньої освіти до участі в бюджетному процесі шляхом подання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відкритого голосування за них та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-переможців, визначених безпосередньо учнями закладу загальної середньої освіти.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1.2. Автор/ка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– це учень/учениця або команда учнів, не менше трьох (далі - Автор)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із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6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11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клас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з одного закладу загальної середньої освіти, яка створила ідею, оформила її у вигляді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у спосіб, передбачений цим Положенням та подала на конкурс шкільного громадського бюджету. 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1.3.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– програма, план дій, комплекс робіт,</w:t>
      </w:r>
      <w:r w:rsidRPr="00014CCF">
        <w:rPr>
          <w:rFonts w:ascii="Times New Roman" w:hAnsi="Times New Roman" w:cs="Times New Roman"/>
          <w:sz w:val="28"/>
          <w:szCs w:val="28"/>
        </w:rPr>
        <w:t xml:space="preserve"> перелік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що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викладені у формі опису з обґрунтуванням, фотографіями, за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можливості,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з розрахунками, кресленнями (картами, схемами), що розкривають сутність ідеї Автора та можливість його реалізації в межах закладу загальної середньої освіти, за рахунок коштів бюджету територіальної громади, передбачених на фінансування ШГБ</w:t>
      </w:r>
      <w:r w:rsidRPr="00014CCF">
        <w:rPr>
          <w:rFonts w:ascii="Times New Roman" w:hAnsi="Times New Roman" w:cs="Times New Roman"/>
          <w:sz w:val="28"/>
          <w:szCs w:val="28"/>
        </w:rPr>
        <w:t>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1.4. Форма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– єдина для всіх, обов’язкова для заповнення форма, яка містить опис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(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Додаток 1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до Положення).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1.5. Електронна система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вебсайт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«Шкільний громадський бюджет» (далі –спеціалізований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вебсайт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) – інформаційна система (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вебсайт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) автоматизованого керування процесами у рамках конкурсу, що забезпечує автоматизацію процесів подання та представлення для голосування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електронного голосування за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зв'язку з Авторами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оприлюднення інформації щодо відібраних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та стану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їхньої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реалізації і підсумкових звітів про реалізацію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1.6. Висновок оцінки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– документ 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установленої</w:t>
      </w:r>
      <w:r w:rsidRPr="00014CCF">
        <w:rPr>
          <w:rFonts w:ascii="Times New Roman" w:hAnsi="Times New Roman" w:cs="Times New Roman"/>
          <w:sz w:val="28"/>
          <w:szCs w:val="28"/>
        </w:rPr>
        <w:t xml:space="preserve"> форми для проведення оцінки поданих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, згідно з вимогами цього Положення (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Додаток 2). 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014CCF">
        <w:rPr>
          <w:rFonts w:ascii="Times New Roman" w:hAnsi="Times New Roman" w:cs="Times New Roman"/>
          <w:sz w:val="28"/>
          <w:szCs w:val="28"/>
        </w:rPr>
        <w:t xml:space="preserve">1.7. Оцінка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– процес аналізу та надання висновку на предмет реалістичності, можливості реалізації, правильності визначення вартості та строків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в рамках шкільного громадського бюджету, що здійснюється Конкурсною комісією.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1.8. Конкурсна комісія – робочий орган,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рік, члени якого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організують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та координують виконання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основних заходів, завдань для впровадження та функціонування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ШГБ, визначених цим Положенням. 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1.9 Учнівська група - це група учнів/учениць різних класів, яка координується Конкурсною комісією та є допоміжним органом для організації та проведення ШГБ.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1.10.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-переможці –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які за результатами конкурсу набрали найбільшу кількість голосів та </w:t>
      </w:r>
      <w:r w:rsidRPr="00014CCF">
        <w:rPr>
          <w:rFonts w:ascii="Times New Roman" w:hAnsi="Times New Roman" w:cs="Times New Roman"/>
          <w:sz w:val="28"/>
          <w:szCs w:val="28"/>
        </w:rPr>
        <w:t xml:space="preserve">включені до  програми фінансування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за рахунок бюджетних коштів, передбачених на конкурс ШГБ.</w:t>
      </w:r>
    </w:p>
    <w:p w:rsidR="000B60C8" w:rsidRPr="006A458C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1.11. Параметри впровадження 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шкільного громадського бюджету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– документ, який зазначає часові рамки, показники, календарний план етапів ШГБ та інші необхідні норми для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його реалізації. </w:t>
      </w:r>
      <w:bookmarkStart w:id="1" w:name="_30j0zll" w:colFirst="0" w:colLast="0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Розпорядженням сільського голови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Степанківської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 </w:t>
      </w:r>
      <w:r w:rsidRPr="006A458C">
        <w:rPr>
          <w:rFonts w:ascii="Times New Roman" w:hAnsi="Times New Roman" w:cs="Times New Roman"/>
          <w:sz w:val="28"/>
          <w:szCs w:val="28"/>
        </w:rPr>
        <w:t>затверджуються Параметри впровадження шкільного громадського бюджету.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1.12. Фінансування шкільного громадського бюджету проводиться за рахунок коштів бюджету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та інших джерел фінансування не заборонених законодавством</w:t>
      </w:r>
      <w:r w:rsidRPr="00014CCF">
        <w:rPr>
          <w:rFonts w:ascii="Times New Roman" w:hAnsi="Times New Roman" w:cs="Times New Roman"/>
          <w:sz w:val="28"/>
          <w:szCs w:val="28"/>
        </w:rPr>
        <w:t xml:space="preserve">. Кошти, передбачені на шкільний громадський бюджет використовуються виключно на фінансування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-переможців, проведення інформаційно-просвітницької та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промоційної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кампаній.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lastRenderedPageBreak/>
        <w:t xml:space="preserve">1.13. Кошти на реалізацію ШГБ розподіляються частинами між закладами загальної середньої освіти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ради, які візьмуть участь у конкурсі на реалізацію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-переможців. За рахунок коштів шкільного громадського бюджету фінансуються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, реалізація яких можлива протягом одного бюджетного року.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1.14. Структурним підрозділом, який реалізує заходи проекту ШГБ є відділ 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ради.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Відділ 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ради: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- оголошує конкурс з ШГБ;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надає</w:t>
      </w:r>
      <w:r w:rsidRPr="00014CCF">
        <w:rPr>
          <w:rFonts w:ascii="Times New Roman" w:hAnsi="Times New Roman" w:cs="Times New Roman"/>
          <w:sz w:val="28"/>
          <w:szCs w:val="28"/>
        </w:rPr>
        <w:t xml:space="preserve"> перелік закладів загальної середньої освіти, які прийняли рішення щодо участі в конкурсі ШГБ</w:t>
      </w:r>
      <w:r>
        <w:rPr>
          <w:rFonts w:ascii="Times New Roman" w:hAnsi="Times New Roman" w:cs="Times New Roman"/>
          <w:sz w:val="28"/>
          <w:szCs w:val="28"/>
        </w:rPr>
        <w:t>, згідно поданих заявок</w:t>
      </w:r>
      <w:r w:rsidRPr="00014CCF">
        <w:rPr>
          <w:rFonts w:ascii="Times New Roman" w:hAnsi="Times New Roman" w:cs="Times New Roman"/>
          <w:sz w:val="28"/>
          <w:szCs w:val="28"/>
        </w:rPr>
        <w:t>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організовує проведення оцінки </w:t>
      </w:r>
      <w:r>
        <w:rPr>
          <w:rFonts w:ascii="Times New Roman" w:hAnsi="Times New Roman" w:cs="Times New Roman"/>
          <w:sz w:val="28"/>
          <w:szCs w:val="28"/>
        </w:rPr>
        <w:t>проектів щодо</w:t>
      </w:r>
      <w:r w:rsidRPr="00014CCF">
        <w:rPr>
          <w:rFonts w:ascii="Times New Roman" w:hAnsi="Times New Roman" w:cs="Times New Roman"/>
          <w:sz w:val="28"/>
          <w:szCs w:val="28"/>
        </w:rPr>
        <w:t xml:space="preserve"> правильності визначення вартості та строків реалізації проекту;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надає інформаційно-консультаційну допомогу у проведенні конкурсу з ШГБ;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здійснює загальний контроль за етапами проведення конкурсу ШГБ та реалізацією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-переможців;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приймає від закладів загальної середньої освіти звітні матеріали про реалізацію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-переможців.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Розділ 2. Інформаційно-просвітницька та </w:t>
      </w:r>
      <w:proofErr w:type="spellStart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промоційна</w:t>
      </w:r>
      <w:proofErr w:type="spellEnd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кампанії.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2.1. Інформаційно-просвітницька кампанія проводиться з метою ознайомлення учнів, батьків та вчителів з основними положеннями та етапами ШГБ, а також для здобуття учнями практичних навичок та компетенцій щодо основ громадської участі.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Інформаційно-просвітницька кампанія включає в себе такі етапи: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ознайомлення усіх учасників задіяних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конкурсі ШГБ з основними етапами бюджетного процесу;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ознайомленням з процесом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впровадження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шкільного громадського бюджету;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інформаційно-консультаційна кампанія щодо написання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обговорення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надання можливості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ознайомитися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проєктами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інформування щодо процедури голосування за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(щодо термінів, способу та місць для голосування);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інформування щодо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2.2.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Промоційна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кампанія – це процес рекламування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різноманітними способами, в тому числі розповсюдження друкованих матеріалів (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флаєрів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) серед учнів закладу загальної середньої освіти та презентація Автором власного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із роз’ясненням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його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ідеї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переваг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У рамках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промоційної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кампанії Автором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обов’язково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проводиться презентація перед учнями закладу загальної середньої освіти. Презентації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відбуваються після затвердження Конкурсною комісією переліку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, які виносяться на голосування.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2.3. Інформаційно-просвітницька та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промоційна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кампанії здійснюються за рахунок коштів бюджету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територіальної громади в межах коштів виділених на реалізацію конкурсу «Шкільний громадський бюджет». Кошти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14CCF">
        <w:rPr>
          <w:rFonts w:ascii="Times New Roman" w:hAnsi="Times New Roman" w:cs="Times New Roman"/>
          <w:sz w:val="28"/>
          <w:szCs w:val="28"/>
        </w:rPr>
        <w:t xml:space="preserve"> виділені на 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проведення </w:t>
      </w:r>
      <w:r w:rsidRPr="00014CCF">
        <w:rPr>
          <w:rFonts w:ascii="Times New Roman" w:hAnsi="Times New Roman" w:cs="Times New Roman"/>
          <w:sz w:val="28"/>
          <w:szCs w:val="28"/>
        </w:rPr>
        <w:t>кампанії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, розподіляються</w:t>
      </w:r>
      <w:r w:rsidRPr="00014CCF">
        <w:rPr>
          <w:rFonts w:ascii="Times New Roman" w:hAnsi="Times New Roman" w:cs="Times New Roman"/>
          <w:sz w:val="28"/>
          <w:szCs w:val="28"/>
        </w:rPr>
        <w:t xml:space="preserve"> між закладами загальної середньої освіти, які беруть участь у конкурсі ШГБ.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2.4. Порядок розподілу коштів та координацію роботи з проведення інформаційно-просвітницької та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промоційної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кампаній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здійснює Конкурсна комісія.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Формат та кількість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промоційних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матеріалів для кожного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який допущено до голосування, мають бути однаковими та встановлюються Конкурсною комісією.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2.5.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Автори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мають право також самостійно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організувати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проводити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промоційні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заходи та виробляти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промоційні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матеріали з роз’ясненням переваг власного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 метою отримання якомога більшої підтримки серед учнів.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Такі кампанії мають ґрунтуватися на принципах доброчесності. Забороняється використовувати методи грошового стимулювання. У випадку наявності інформації щодо використання недоброчесних методів проведення кампанії, така інформація може стати предметом розгляду на засіданні Конкурсної комісії. За результатом такого розгляду Конкурсна комісія може дискваліфікувати відповідний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B60C8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Розділ 3. Конкурсна комісія, її функції та повноваження. </w:t>
      </w:r>
    </w:p>
    <w:p w:rsidR="000B60C8" w:rsidRPr="00014CCF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Учнівська група.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3.1. Конкурсна комісія – робочий орган, який створюється наказом директора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закладу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загальної середньої освіти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на період реалізації шкільного громадського бюджету на відповідний бюджетний рік, члени якого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організують та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координують виконання основних заходів, завдань для впровадження та функціонування ШГБ,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визначених цим Положенням.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3.2. До складу Конкурсної комісії входять: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не більше 5-ти представників від закладу загальної середньої освіти (вчителі, заступники директора);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 не більше 3-х представників від батьківських комітетів,;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 не більше 5-х учнів з різних класів закладу загальної середньої освіти, яких  делегує Учнівська група зі свого складу.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Представників батьківського комітету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Конкурсної комісії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делегує загальношкільний батьківський комітет або батьківські комітети класів.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3.3. Основними завданнями Конкурсної комісії є: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lastRenderedPageBreak/>
        <w:t xml:space="preserve">- здійснення загальної організації, координація та супровід ШГБ до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- організація освітнього процесу щодо роз’яснення основ проведення конкурсу ШГБ;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-аналіз та оцінка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щодо реалістичності, можливості реалізації, правильності визначення вартості та строків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в рамках шкільного громадського бюджету та за необхідності надсилає їх на доопрацювання;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ведення реєстру отриманих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належне зберігання усіх поданих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сприяння розміщенню необхідної інформації пов’язаної з ШГБ на спеціалізованому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консультаційна допомога Автору в написанні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та формування кошторису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затвердження переліку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, які не допускаються до голосування;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направлення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до відділу 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 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для отримання висновку щодо правильності визначення в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вартості та строків реалізації;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забезпечення інформаційної та організаційної підтримки Авторів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затвердження результатів голосування;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розгляд спірних ситуацій, що виникають у процесі проведення ШГБ;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- оприлюднення всієї інформації, пов’язаної з перебігом виконання ШГБ;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здійснення інших завдань, що сприятимуть реалізації ШГБ;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- забезпечення дотримання вимог цього Положення.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3.4. Для реалізації повноважень Конкурсна комісія має право: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 звернутися за допомогою 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відділу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</w:rPr>
        <w:t xml:space="preserve">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якщо компетенція Конкурсної комісії не дозволяє вирішити проблему самостійно;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отримувати детальні обґрунтування причин негативної оцінки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кошторису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та з інших питань від </w:t>
      </w:r>
      <w:r w:rsidRPr="00014CCF">
        <w:rPr>
          <w:rFonts w:ascii="Times New Roman" w:hAnsi="Times New Roman" w:cs="Times New Roman"/>
          <w:sz w:val="28"/>
          <w:szCs w:val="28"/>
        </w:rPr>
        <w:t xml:space="preserve">відділу 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отримувати інформацію та звіти про хід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Конкурсна комісія має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й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інші права, необхідні для виконання повноважень, передбачених цим Положенням.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3.5. Конкурсна комісія працює у формі засідань. Засідання є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правомочним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за умови присутності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на ньому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більше половини її членів. Рішення на засіданні ухвалюються більшістю присутніх на засіданні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членів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Конкурсної комісії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. За наявності рівної кількості голосів «за» і «проти»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голос голови Конкурсної комісії є вирішальним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За відсутності голови Конкурсної комісії , вирішальний голос має секретар, який головує на засіданні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3.6. Засідання Конкурсної комісії проводяться у відкритому режимі. Про час та місце проведення засідання повідомляється за 3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календарних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дні.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3.7. Якщо член Конкурсної комісії протягом року тричі пропустив/ла засідання без поважних причин, то він/вона підлягає виключенню та заміні зі складу комісії за поданням Конкурсної комісії, на підставі наказу директора закладу загальної середньої освіти.</w:t>
      </w:r>
      <w:r w:rsidRPr="00014CCF">
        <w:rPr>
          <w:rFonts w:ascii="Times New Roman" w:hAnsi="Times New Roman" w:cs="Times New Roman"/>
          <w:color w:val="0070C0"/>
          <w:sz w:val="28"/>
          <w:szCs w:val="28"/>
          <w:highlight w:val="white"/>
        </w:rPr>
        <w:t> 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3.8. На своєму першому засіданні Конкурсна комісія обирає зі свого складу голову та секретаря. Як правило, секретарем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Конкурсної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комісії є представник/ця закладу </w:t>
      </w:r>
      <w:r w:rsidRPr="00014CCF"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3.9. Протоколи засідань, рішення, висновки та рекомендації підписують голова та секретар. Всі протоколи, рішення, висновки та рекомендації невідкладно оприлюднюються на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</w:rPr>
        <w:t>закладу</w:t>
      </w:r>
      <w:r w:rsidRPr="00014CC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загальної середньої освіти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 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3.10 Учнівська група - це група учнів з різних класів, яка координується Конкурсною комісією та створюється, як допоміжний орган для забезпечення права учнів бути залученими до процесу організації,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виконання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ШГБ та врахування думки учнівської спільноти під час розгляду питань, пов’язаних із ШГБ. Учнівська група складається з числа учнів закладу </w:t>
      </w:r>
      <w:r w:rsidRPr="00014CCF">
        <w:rPr>
          <w:rFonts w:ascii="Times New Roman" w:hAnsi="Times New Roman" w:cs="Times New Roman"/>
          <w:sz w:val="28"/>
          <w:szCs w:val="28"/>
        </w:rPr>
        <w:t>загальної середньої освіти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у складі до 12 осіб.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можливості,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склад групи має бути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гендерно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врівноваженим. Процес створення Учнівської групи координує Конкурсна комісія. Учнівська група створюється шляхом рейтингового голосування за учнів, які виявили бажання увійти до її складу.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3.11. Учнівська група зі свого складу на першому засіданні обирає головуючого та делегує п’ять представників до Конкурсної комісії. Учні, які увійшли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складу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Конкурсної комісії, є повноцінними членами Учнівської групи та виконують всі обов’язки та функції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покладені на неї.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3.12. Об’єм функцій та повноважень Учнівської групи визначає Конкурсна комісія.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До функцій Учнівської групи може входити: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планування,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командоутворення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координація та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співорганізація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процесу навчання учнів з основ громадської участі;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допомога та консультування щодо підготовки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організація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процесів ШГБ на всіх його етапах;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розробка та внесення пропозицій на розгляд Конкурсної комісії щодо плану заходів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рамках інформаційно-просвітницької та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промоційної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кампаній; 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підготовка освітніх доповідей, статей, матеріалів, організація і проведення конференцій, форумів на рівні </w:t>
      </w:r>
      <w:r w:rsidRPr="00014CCF">
        <w:rPr>
          <w:rFonts w:ascii="Times New Roman" w:hAnsi="Times New Roman" w:cs="Times New Roman"/>
          <w:sz w:val="28"/>
          <w:szCs w:val="28"/>
        </w:rPr>
        <w:t>закладу загальної середньої освіти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тощо.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3.13 Склад </w:t>
      </w:r>
      <w:r w:rsidRPr="00014CCF">
        <w:rPr>
          <w:rFonts w:ascii="Times New Roman" w:hAnsi="Times New Roman" w:cs="Times New Roman"/>
          <w:sz w:val="28"/>
          <w:szCs w:val="28"/>
        </w:rPr>
        <w:t xml:space="preserve">Конкурсної комісії та Учнівської групи формуються протягом  10 робочих днів до часу подачі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авторами.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Розділ 4. Авторські </w:t>
      </w:r>
      <w:proofErr w:type="spellStart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та порядок </w:t>
      </w:r>
      <w:r w:rsidRPr="00014CCF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їхнього</w:t>
      </w: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подання.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2" w:name="_1fob9te" w:colFirst="0" w:colLast="0"/>
      <w:bookmarkEnd w:id="2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4.1.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– програма, план дій, комплекс робіт,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що викладені у формі опису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 обґрунтуванням, фотографіями (за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можливості),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 розрахунками, кресленнями (картами, схемами), що розкривають сутність ідеї Автора, можливість його реалізації в межах закладу загальної середньої освіти, за рахунок коштів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виділених на реалізацію ШГБ.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4.2. Один Автор може подати один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в паперовій або електронній формі. Якщо у Автора є складності в написанні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чи формуванні кошторису, він може звернутися за допомогою до Конкурсної комісії.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4.3. Для подання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Автору необхідно заповнити бланк за формою згідно з Положенням (Додаток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до Положення).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4.4.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реалізується в межах закла</w:t>
      </w:r>
      <w:r>
        <w:rPr>
          <w:rFonts w:ascii="Times New Roman" w:hAnsi="Times New Roman" w:cs="Times New Roman"/>
          <w:sz w:val="28"/>
          <w:szCs w:val="28"/>
        </w:rPr>
        <w:t>ду загальної середньої освіти</w:t>
      </w:r>
      <w:r w:rsidRPr="00014CCF">
        <w:rPr>
          <w:rFonts w:ascii="Times New Roman" w:hAnsi="Times New Roman" w:cs="Times New Roman"/>
          <w:sz w:val="28"/>
          <w:szCs w:val="28"/>
        </w:rPr>
        <w:t xml:space="preserve"> протягом одного бюджетного року.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Подані для фінансування за рахунок коштів шкільного громадського бюджету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повинні бути спрямовані на: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>- розвиток шкільної громади (шкільного самоврядування, впровадження інновацій) та тематичного напрямку закладу загальної середньої освіти;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- упорядкування закладу загальної середньої освіти та його території (зокрема придбання матеріалів, будівельних матеріалів, інвентарю та інструментів для проведення ремонтних чи будівельних робіт господарським способом; поліпшення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</w:rPr>
        <w:t>/дизайну приміщень закладу загальної середньої освіти та територій, озеленення та освітлення території, благоустрій території тощо);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- впровадження альтернативних джерел енергії та заходів з енергозбереження (зокрема через придбання та встановлення джерел резервного живлення);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- організацію заходів фізичної культури та спорту, зокрема виконання заходів і завдань державної та місцевої програми розвитку фізичної культури і спорту (організація і проведення спортивних заходів, участь у змаганнях сфери фізичної культури і спорту; проведення спортивно-масових заходів, конкурсів, концертів, культурно-мистецьких заходів тощо), а також заходів з дозвілля чи туризму;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>- науково-просвітницькі заходи чи задоволення потреб учнівської спільноти в частині освітніх та навчальних програм (організація інтелектуальних турнірів, семінарів, форумів, інших заходів науково-просвітницького спрямування; виготовлення та розміщення інформаційної продукції, послуг із розміщення інформації в медіа);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покращення освітнього процесу (зокрема через придбання книг та періодичних видань для поповнення фондів бібліотеки; поточний ремонт чи обслуговування комп’ютерної та організаційної техніки, оплату послуг з адміністрування (обслуговування) чи купівлю програмного забезпечення, інших послуг у сфері інформатизації; оплату послуг з доступу в режимі он-лайн до електронних баз наукової та науково-технічної інформації, інформаційних ресурсів; придбання реактивів, хімікатів, біопрепаратів для лабораторних досліджень (випробувань) та освітнього процесу; придбання спецодягу, захисного одягу тощо) та розвиток патріотичного виховання;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>- соціальні заходи (організація заходів, спрямованих на поліпшення процесу соціалізації та підтримку незахищених верств населення);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- поліпшення екологічної ситуації та еко-свідомості на рівні закладу загальної середньої освіти (зокрема встановлення або технічне обслуговування установок з доочистки води та біологічного очищення господарсько-побутових стічних вод; закупівлю санітарно-гігієнічних товарів та поліетиленової продукції для пакування відходів);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- поліпшення просторового розвитку та естетичного вигляду, впровадження сучасних інноваційних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- посилення або запровадження волонтерської діяльності (зокрема створення майстерень, студій, гуртків, проведення акцій, навчань та заходів з залучення до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</w:rPr>
        <w:t>;  придбання одягу, взуття, м’якого інвентарю і обладнання для учнів з числа дітей-сиріт і дітей, позбавлених батьківського піклування) чи соціального підприємництва на постійній основі на рівні закладу загальної середньої освіти.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</w:rPr>
        <w:t xml:space="preserve">- покращення безпеки на території та в закладі загальної середньої освіти, а також посилення цивільного захисту населення (зокрема через ремонт захисних споруд цивільного захисту: сховищ, протирадіаційних чи тимчасових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</w:rPr>
        <w:t>укриттів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</w:rPr>
        <w:t>, облаштування приміщень, які плануються до використання для укриття, облаштування тимчасових пунктів обігріву; обслуговування протипожежної сигналізації, придбання засобів пожежогасіння чи перезарядка вогнегасників, заходи (зокрема ремонтні роботи) з охорони приміщень та захисту приміщень закладу загальної середньої освіти), охорони здоров'я (зокрема придбання медикаментів та перев’язувальних матеріалів) чи психологічної реабілітації.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</w:rPr>
        <w:t>, спрямовані на проведення заходів (турніри, фестивалі, круглі столи, толоки та інше),</w:t>
      </w:r>
      <w:r w:rsidRPr="00014CCF">
        <w:rPr>
          <w:rFonts w:ascii="Times New Roman" w:hAnsi="Times New Roman" w:cs="Times New Roman"/>
          <w:sz w:val="28"/>
          <w:szCs w:val="28"/>
        </w:rPr>
        <w:t xml:space="preserve"> можуть подаватися лише учнями 8-11 класів і впроваджуються Авторами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під наглядом та за допомогою адміністрації закладу загальної середньої освіти та/або Конкурсної комісії.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4.5.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Основним принципом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при формуванні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є простота/зручність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написанні.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складається з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бланка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-заявки та кошторису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. Автор може додати у вигляді пронумерованих додатків фотографії, малюнки, схеми, описи, графічні зображення, додаткові пояснення, тощо.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Проєктна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заявка складається з наступних розділів: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назва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команда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/автор/ка;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вид та тематика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місце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мета та цілі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потреби якої цільової аудиторії задовольняє;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перелік заходів, що планується зробити в рамках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часові рамки впровадження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 очікувані результати;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опис ідеї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</w:rPr>
        <w:t>4.6. К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ошторис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розрахований Автором, включає усі витрати пов’язані з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проєктом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а саме: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кошти на закупівлю товарів, сировини, матеріалів, комплектуючих та інших витрат;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кошти на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виконання робіт та надання послуг; 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кошти на розробку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проєктної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документації (в разі потреби);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</w:t>
      </w:r>
      <w:r w:rsidRPr="00014CCF">
        <w:rPr>
          <w:rFonts w:ascii="Times New Roman" w:hAnsi="Times New Roman" w:cs="Times New Roman"/>
          <w:sz w:val="28"/>
          <w:szCs w:val="28"/>
          <w:highlight w:val="white"/>
          <w:lang w:val="ru-RU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кошти резерву (до 10% - використовуються при подорожчанні запланованих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товарів, сировини, матеріалів, комплектуючих та інших витрат на момент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).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4.7.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повинні відповідати таким вимогам: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подається за встановленою цим Положенням формою (Додаток 1 до Положення);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усі обов’язкові поля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проєктної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заявки заповнені;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назва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має відображати зміст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і бути викладеною лаконічно, в межах одного речення;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не суперечать чинному законодавству України;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питання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знаходиться в межах повноважень органів місцевого самоврядування;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реалізація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здійснюється в межах закладу загальної середньої освіти;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має бути реалізований впродовж одного бюджетного року і спрямований на кінцеві результати;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доступ до об’єктів, на які спрямовані кошти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, повинен бути вільним для всіх учнів.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У рамках шкільного громадського бюджету не фінансуються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які: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- не відповідають вимогам пункту 4.7 цього Положення.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розраховані тільки на розробку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проєктної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документації;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мають незавершений характер (виконання одного з елементів в майбутньому, виконання подальших елементів);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передбачають річні витрати на утримання та обслуговування, що перевищують вартість реалізації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реалізація яких передбачає збільшення штатної чисельності закладу загальної середньої освіти та постійного утримання додаткових працівників;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- містять ненормативну лексику, наклепи, образи, заклики до насильства, повалення влади, зміни конституційного ладу країни тощо;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стосуються приміщень та прибудинкової території закладу загальної середньої освіти щодо проведення поточних, капітальних внутрішніх та фасадних ремонтних робіт;  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передбачають проведення внутрішніх ремонтних робіт, якщо вартість цих робіт становить більше 60 % кошторису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- передбачають виключно придбання обладнання для виконання робіт з капітального та поточного ремонту, заходів з енергозбереження, заміну огорожі;</w:t>
      </w:r>
    </w:p>
    <w:p w:rsidR="000B60C8" w:rsidRPr="00014CCF" w:rsidRDefault="000B60C8" w:rsidP="000B60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є загальнодоступними для учнів. </w:t>
      </w:r>
    </w:p>
    <w:p w:rsidR="000B60C8" w:rsidRPr="00014CCF" w:rsidRDefault="000B60C8" w:rsidP="000B60C8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4.9.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Строк подачі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становить 8 календарних днів.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 Часові рамки подачі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визначаються Параметрами впровадження </w:t>
      </w:r>
      <w:r w:rsidRPr="00014CCF">
        <w:rPr>
          <w:rFonts w:ascii="Times New Roman" w:hAnsi="Times New Roman" w:cs="Times New Roman"/>
          <w:color w:val="000000"/>
          <w:sz w:val="28"/>
          <w:szCs w:val="28"/>
        </w:rPr>
        <w:t>шкільного громадського бюджету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4.10. Подаючи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на реалізацію у рамках шкільного громадського бюджету, його Автор засвідчує згоду на вільне використання закладом загальної середньої освіти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цього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, ідеї, у тому числі поза межами реалізації ШГБ.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4.11.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подаються до Конкурсної комісії або до уповноваженої особи визначеної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комісією,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на електронному носії або паперовому вигляді.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4.12. Автор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може у будь-який момент зняти свій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із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конкурсу, але не пізніше ніж за 5 робочих днів до початку голосування.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4.13. Об’єднання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можливе лише за взаємною згодою Авторів, але не пізніше ніж за 5 робочих днів до початку голосування, з повідомленням про таке об’єднання на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на якому публікуються подані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4.14. Внесення змін до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можливе, але не пізніше ніж за 7 календарних днів до початку голосування, з повідомленням про відповідні зміни на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спеціалізованому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на якому публікуються подані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Default="000B60C8" w:rsidP="000B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0C8" w:rsidRPr="00014CCF" w:rsidRDefault="000B60C8" w:rsidP="000B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CCF">
        <w:rPr>
          <w:rFonts w:ascii="Times New Roman" w:hAnsi="Times New Roman" w:cs="Times New Roman"/>
          <w:b/>
          <w:sz w:val="28"/>
          <w:szCs w:val="28"/>
        </w:rPr>
        <w:t xml:space="preserve">Розділ 5. Порядок аналізу та оцінка </w:t>
      </w:r>
      <w:proofErr w:type="spellStart"/>
      <w:r w:rsidRPr="00014CCF">
        <w:rPr>
          <w:rFonts w:ascii="Times New Roman" w:hAnsi="Times New Roman" w:cs="Times New Roman"/>
          <w:b/>
          <w:sz w:val="28"/>
          <w:szCs w:val="28"/>
        </w:rPr>
        <w:t>проєктів</w:t>
      </w:r>
      <w:proofErr w:type="spellEnd"/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5.1. Усі подані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підлягають аналізу та оцінці Конкурсною комісією, що включає: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аналіз правильності заповнення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заявки,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- технічну оцінку,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- оцінку реалістичності, можливості реалізації, правильності визначення вартості та строків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Процес оцінки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Конкурсною комісією відбувається протягом 10 робочих днів.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lastRenderedPageBreak/>
        <w:t xml:space="preserve">Оцінка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здійснюється відповідно до форми оцінки (Додаток 2 до Положення).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У разі, якщо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неповним, заповненим з помилками, потребує додаткового роз’яснення щодо ідеї чи реалізації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Конкурсна комісія запрошує Автора на засідання, на якому відбуваються розгляд та винесення висновку за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проєктом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проханням надати необхідну інформацію або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корективи протягом 3 календарних днів. Якщо у Автора немає можливості взяти участь у засіданні, то Конкурсна комісія в письмовій формі повідомляє Автора про недоліки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разі відмови Автора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внести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корективи або якщо такі корективи не були ним внесені протягом 3 календарних днів з дня отримання відповідної інформації, його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відхиляється. Доопрацювання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відбувається у строк встановлений для проведення оцінки Конкурсною комісією.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5.3. Після закінчення терміну оцінювання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проєктних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заявок, протягом 2 робочих днів Конкурсна комісія, формує перелік позитивно оцінених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з усіма необхідними документами до них та передає їх до відділу 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 для надання висновку щодо правильності визначення в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вартості та строків реалізації.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 Відділ освіти  </w:t>
      </w:r>
      <w:r w:rsidRPr="00014CCF">
        <w:rPr>
          <w:rFonts w:ascii="Times New Roman" w:hAnsi="Times New Roman" w:cs="Times New Roman"/>
          <w:sz w:val="28"/>
          <w:szCs w:val="28"/>
        </w:rPr>
        <w:t xml:space="preserve">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протягом 15 робочих днів здійснює аналіз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частині правильності визначення вартості та строків реалізації.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 бути відправлений на доопрацювання. Доопрацювання такого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відбувається протягом 5 календарних днів. Таке доопрацювання Автором здійснюється не більше 1 разу. Доопрацювання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відбувається у строк встановлений для проведення аналізу відділом освіти,</w:t>
      </w:r>
      <w:r w:rsidRPr="00014CCF">
        <w:rPr>
          <w:rFonts w:ascii="Times New Roman" w:hAnsi="Times New Roman" w:cs="Times New Roman"/>
          <w:sz w:val="28"/>
          <w:szCs w:val="28"/>
        </w:rPr>
        <w:t xml:space="preserve">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5.5. За результатами такого аналізу, відділ 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ради, у термін, визначений пунктом 5.4 Положення, надає висновок у частині правильності визначення вартості та строків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. У разі надання негативного висновку, зазначаються його аргументовані причини.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5.6. Належним чином оформлені висновки протягом 2 робочих днів повертаються  відділом освіти, 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ради до Конкурсних комісій закладів загальної середньої освіти.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14CCF">
        <w:rPr>
          <w:rFonts w:ascii="Times New Roman" w:hAnsi="Times New Roman" w:cs="Times New Roman"/>
          <w:sz w:val="28"/>
          <w:szCs w:val="28"/>
        </w:rPr>
        <w:t xml:space="preserve">. За результатами оцінювання Конкурсна комісія протягом 2 робочих днів формує реєстр позитивно та негативно оцінених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. За результатом сформованого реєстру, Конкурсна комісія затверджує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, які допускаються до голосування. Аналіз з обґрунтуванням щодо оцінки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надаються Авторам.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14CCF">
        <w:rPr>
          <w:rFonts w:ascii="Times New Roman" w:hAnsi="Times New Roman" w:cs="Times New Roman"/>
          <w:sz w:val="28"/>
          <w:szCs w:val="28"/>
        </w:rPr>
        <w:t xml:space="preserve">. Будь-які втручання 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, у тому числі зміни об’єкта чи об’єднання з іншими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, можливі лише за письмовою згодою Авторів.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14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, які отримали позитивну оцінку, протягом тих же 2 робочих днів, визначених пунктом 5.2 Положення, підлягають розміщенню на спеціалізованому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, допущені для участі у голосуванні, оприлюднюються.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14CCF">
        <w:rPr>
          <w:rFonts w:ascii="Times New Roman" w:hAnsi="Times New Roman" w:cs="Times New Roman"/>
          <w:sz w:val="28"/>
          <w:szCs w:val="28"/>
        </w:rPr>
        <w:t xml:space="preserve">. Автори цих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повідомляються Конкурсною комісією про те, що їхні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братимуть участь у голосуванні.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11.</w:t>
      </w:r>
      <w:r w:rsidRPr="00014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>, які не потребують бюджетних асигнувань та отримали позитивний висновок Конкурсної комісії, не потребують голосування та реалізуються закладом загальної середньої освіти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Розділ 6. Організація голосування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6.1. Порядок проведення голосування визначає Конкурсна комісія з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урахуванням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норм цього Положення. Основні принципи, які повинні бути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забезпечені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під час голосування це: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інклюзивність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, доступність, прозорість, анонімність, справедливість.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6.2. Голосування за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здійснюється шляхом заповнення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бланка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голосування в електронному вигляді за допомогою інтернет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>ресурсу або на паперових носіях у пункті голосування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визначених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Конкурсною комісією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шляхом заповнення бюлетеня. В пункті для голосування процес супроводжується уповноваженими особами, які пройшли відповідний інструктаж. Організація та проведення інструктажу та визначення відповідальних осіб (уповноважених) за процесом голосування є обов'язком Конкурсної комісії.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6.3. Період проведення голосування визначається в Параметрах впровадження </w:t>
      </w:r>
      <w:r w:rsidRPr="00014CCF">
        <w:rPr>
          <w:rFonts w:ascii="Times New Roman" w:hAnsi="Times New Roman" w:cs="Times New Roman"/>
          <w:sz w:val="28"/>
          <w:szCs w:val="28"/>
        </w:rPr>
        <w:t>шкільного громадського бюджету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Голосування триває протягом 8 календарних днів. Голосування проводиться не раніше ніж за 10 календарних днів після оприлюднення допущених до участі у голосуванні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6.4 Право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голосу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мають учні з 6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до 11 клас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. Учень/учениця може віддати один голос за один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6.5. Уповноважені особи пункту голосування надають Конкурсній комісії загальну інформацію про шкільний громадський бюджет,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та роз’яснюють порядок голосування. При цьому їм забороняється здійснювати агітацію та переконувати проголосувати за окремо взяті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6.6. У пункті голосування можна отримати бюлетень для голосування, а також перелік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що беруть участь у голосуванні. Бюлетені для голосування видаються учням під підпис (Додаток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3до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Положення).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6.7. Результати голосування відображаються на спеціалізованому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6.8. Спірні питання під час голосування вирішує Конкурсна комісія.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Розділ 7. Встановлення результатів та визначення переможців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7.1. Переможцями голосування є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які набрали найбільшу кількість голосів. Підрахунок голосів здійснюється Конкурсною комісією на відкритому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засіданні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в перший робочий день після закінчення голосування. Після підрахунку паперові голоси додаються до електронних та відображаються загальною цифрою на спеціалізованому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7.2. Якщо в результаті голосування два або декілька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отримали однакову кількість голосів, пріоритетність визначається датою подання до конкурсної комісії відповідного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Кількість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-переможців обмежується обсягом бюджетних асигнувань виділених на заклад загальної середньої освіти для фінансування </w:t>
      </w:r>
      <w:proofErr w:type="spellStart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ШГБ.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bookmarkStart w:id="3" w:name="_3znysh7" w:colFirst="0" w:colLast="0"/>
      <w:bookmarkEnd w:id="3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7.4. За результатами підрахунку голосів Конкурсна комісія готує протокол з переліком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-переможців за підписом директора закладу загальної середньої освіти, які пропонуються до фінансування у рамках шкільного громадського бюджету та надсилає його </w:t>
      </w:r>
      <w:r w:rsidRPr="00014CCF">
        <w:rPr>
          <w:rFonts w:ascii="Times New Roman" w:hAnsi="Times New Roman" w:cs="Times New Roman"/>
          <w:sz w:val="28"/>
          <w:szCs w:val="28"/>
        </w:rPr>
        <w:t>до в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ідділу освіти  </w:t>
      </w:r>
      <w:r w:rsidRPr="00014CCF">
        <w:rPr>
          <w:rFonts w:ascii="Times New Roman" w:hAnsi="Times New Roman" w:cs="Times New Roman"/>
          <w:sz w:val="28"/>
          <w:szCs w:val="28"/>
        </w:rPr>
        <w:t xml:space="preserve">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протягом 2 робочих днів. </w:t>
      </w:r>
    </w:p>
    <w:p w:rsidR="000B60C8" w:rsidRPr="00014CCF" w:rsidRDefault="000B60C8" w:rsidP="000B60C8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7.5. Інформація про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проєкти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-переможці публікується на спеціалізованому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після встановлення повного переліку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-переможців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 закладами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загальної середньої освіти.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Розділ 8. Затвердження видатків та реалізація </w:t>
      </w:r>
      <w:proofErr w:type="spellStart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проєктів</w:t>
      </w:r>
      <w:proofErr w:type="spellEnd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-переможців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8.1. 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 освіти  </w:t>
      </w:r>
      <w:r w:rsidRPr="00014CCF">
        <w:rPr>
          <w:rFonts w:ascii="Times New Roman" w:hAnsi="Times New Roman" w:cs="Times New Roman"/>
          <w:sz w:val="28"/>
          <w:szCs w:val="28"/>
        </w:rPr>
        <w:t xml:space="preserve">культури, туризму, молоді, спорту та охорони здоров’я виконавчого комітету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4CCF">
        <w:rPr>
          <w:rFonts w:ascii="Times New Roman" w:hAnsi="Times New Roman" w:cs="Times New Roman"/>
          <w:sz w:val="28"/>
          <w:szCs w:val="28"/>
        </w:rPr>
        <w:t xml:space="preserve">після отримання протоколу з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проєктами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-переможцями, формує </w:t>
      </w:r>
      <w:r>
        <w:rPr>
          <w:rFonts w:ascii="Times New Roman" w:hAnsi="Times New Roman" w:cs="Times New Roman"/>
          <w:sz w:val="28"/>
          <w:szCs w:val="28"/>
        </w:rPr>
        <w:t xml:space="preserve">звернення до виконавчого комітету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ради, як головного розпорядника коштів щодо необхідного фінансування проектів.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CCF">
        <w:rPr>
          <w:rFonts w:ascii="Times New Roman" w:hAnsi="Times New Roman" w:cs="Times New Roman"/>
          <w:sz w:val="28"/>
          <w:szCs w:val="28"/>
        </w:rPr>
        <w:t xml:space="preserve">8.2. </w:t>
      </w:r>
      <w:r>
        <w:rPr>
          <w:rFonts w:ascii="Times New Roman" w:hAnsi="Times New Roman" w:cs="Times New Roman"/>
          <w:sz w:val="28"/>
          <w:szCs w:val="28"/>
        </w:rPr>
        <w:t>Виконавчий комітет</w:t>
      </w:r>
      <w:r w:rsidRPr="00014C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Степанківської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014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Pr="00014CCF">
        <w:rPr>
          <w:rFonts w:ascii="Times New Roman" w:hAnsi="Times New Roman" w:cs="Times New Roman"/>
          <w:sz w:val="28"/>
          <w:szCs w:val="28"/>
        </w:rPr>
        <w:t xml:space="preserve">забезпечує реалізацію </w:t>
      </w:r>
      <w:proofErr w:type="spellStart"/>
      <w:r w:rsidRPr="00014CCF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014CCF">
        <w:rPr>
          <w:rFonts w:ascii="Times New Roman" w:hAnsi="Times New Roman" w:cs="Times New Roman"/>
          <w:sz w:val="28"/>
          <w:szCs w:val="28"/>
        </w:rPr>
        <w:t xml:space="preserve">-переможців відповідно до законодавства.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8.</w:t>
      </w:r>
      <w:r>
        <w:rPr>
          <w:rFonts w:ascii="Times New Roman" w:hAnsi="Times New Roman" w:cs="Times New Roman"/>
          <w:sz w:val="28"/>
          <w:szCs w:val="28"/>
          <w:highlight w:val="white"/>
        </w:rPr>
        <w:t>3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. Авторський нагляд за реалізацією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покладається на Автора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-переможця. 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0B60C8" w:rsidRDefault="000B60C8" w:rsidP="000B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bookmarkStart w:id="4" w:name="_2et92p0" w:colFirst="0" w:colLast="0"/>
      <w:bookmarkEnd w:id="4"/>
    </w:p>
    <w:p w:rsidR="000B60C8" w:rsidRDefault="000B60C8" w:rsidP="000B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B60C8" w:rsidRDefault="000B60C8" w:rsidP="000B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0B60C8" w:rsidRPr="00014CCF" w:rsidRDefault="000B60C8" w:rsidP="000B60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Розділ 9. Звітування та оцінка результатів реалізації </w:t>
      </w:r>
      <w:proofErr w:type="spellStart"/>
      <w:r w:rsidRPr="00014CCF">
        <w:rPr>
          <w:rFonts w:ascii="Times New Roman" w:hAnsi="Times New Roman" w:cs="Times New Roman"/>
          <w:b/>
          <w:sz w:val="28"/>
          <w:szCs w:val="28"/>
          <w:highlight w:val="white"/>
        </w:rPr>
        <w:t>проєктів</w:t>
      </w:r>
      <w:proofErr w:type="spellEnd"/>
    </w:p>
    <w:p w:rsidR="000B60C8" w:rsidRPr="00626F59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F59">
        <w:rPr>
          <w:rFonts w:ascii="Times New Roman" w:hAnsi="Times New Roman" w:cs="Times New Roman"/>
          <w:color w:val="000000" w:themeColor="text1"/>
          <w:sz w:val="28"/>
          <w:szCs w:val="28"/>
        </w:rPr>
        <w:t>9.1.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клад загальної середньої освіти</w:t>
      </w:r>
      <w:r w:rsidRPr="0062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звітує про реалізацію </w:t>
      </w:r>
      <w:proofErr w:type="spellStart"/>
      <w:r w:rsidRPr="00626F59">
        <w:rPr>
          <w:rFonts w:ascii="Times New Roman" w:hAnsi="Times New Roman" w:cs="Times New Roman"/>
          <w:color w:val="000000" w:themeColor="text1"/>
          <w:sz w:val="28"/>
          <w:szCs w:val="28"/>
        </w:rPr>
        <w:t>проєктів</w:t>
      </w:r>
      <w:proofErr w:type="spellEnd"/>
      <w:r w:rsidRPr="0062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(Додаток 4 до Положення)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шляхом подання річного</w:t>
      </w:r>
      <w:r w:rsidRPr="0062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26F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31 сі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чня року, наступного за звітним.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9.2. </w:t>
      </w:r>
      <w:r>
        <w:rPr>
          <w:rFonts w:ascii="Times New Roman" w:hAnsi="Times New Roman" w:cs="Times New Roman"/>
          <w:sz w:val="28"/>
          <w:szCs w:val="28"/>
          <w:highlight w:val="white"/>
        </w:rPr>
        <w:t>Річний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звіт включає в себе: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загальний опис результатів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 заходи, які не вдалося реалізувати або реалізовано іншим чином;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опис робіт та послуг, які проведено та надано,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їхня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послідовність;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 фактичний термін реалізації;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>- фактичний бюджет;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фотозвіт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результату.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9.3. Після завершення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за бажанням Автора, за місцем реалізації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, може бути розміщено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інформацію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про Автора та інших осіб, що забезпечували супроводження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B60C8" w:rsidRPr="00014CCF" w:rsidRDefault="000B60C8" w:rsidP="000B6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9.4. Звіти про стан реалізації та про реалізацію кожного </w:t>
      </w:r>
      <w:proofErr w:type="spellStart"/>
      <w:r w:rsidRPr="00014CCF">
        <w:rPr>
          <w:rFonts w:ascii="Times New Roman" w:hAnsi="Times New Roman" w:cs="Times New Roman"/>
          <w:sz w:val="28"/>
          <w:szCs w:val="28"/>
          <w:highlight w:val="white"/>
        </w:rPr>
        <w:t>проєкту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оприлюднюються на спеціалізованому </w:t>
      </w:r>
      <w:proofErr w:type="spellStart"/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вебсайті</w:t>
      </w:r>
      <w:proofErr w:type="spellEnd"/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протягом п'яти робочих днів з дня </w:t>
      </w:r>
      <w:r w:rsidRPr="00014CCF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їхньої</w:t>
      </w:r>
      <w:r w:rsidRPr="00014CCF">
        <w:rPr>
          <w:rFonts w:ascii="Times New Roman" w:hAnsi="Times New Roman" w:cs="Times New Roman"/>
          <w:sz w:val="28"/>
          <w:szCs w:val="28"/>
          <w:highlight w:val="white"/>
        </w:rPr>
        <w:t xml:space="preserve"> підготовки.</w:t>
      </w:r>
    </w:p>
    <w:p w:rsidR="000B60C8" w:rsidRPr="000B60C8" w:rsidRDefault="000B60C8" w:rsidP="000B60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sectPr w:rsidR="000B60C8" w:rsidRPr="000B6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C8"/>
    <w:rsid w:val="000B60C8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17B363"/>
  <w15:chartTrackingRefBased/>
  <w15:docId w15:val="{5EA97C6B-88AB-3E4B-B7B6-54FE50FF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C8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60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C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C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C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C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C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C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C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6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6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60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60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60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60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60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60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6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C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6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60C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60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60C8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60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6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60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60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4729</Words>
  <Characters>26960</Characters>
  <Application>Microsoft Office Word</Application>
  <DocSecurity>0</DocSecurity>
  <Lines>224</Lines>
  <Paragraphs>63</Paragraphs>
  <ScaleCrop>false</ScaleCrop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2025-02-26T07:57:00Z</dcterms:created>
  <dcterms:modified xsi:type="dcterms:W3CDTF">2025-02-26T07:58:00Z</dcterms:modified>
</cp:coreProperties>
</file>