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886" w:type="dxa"/>
        <w:tblInd w:w="426" w:type="dxa"/>
        <w:tblLook w:val="04A0" w:firstRow="1" w:lastRow="0" w:firstColumn="1" w:lastColumn="0" w:noHBand="0" w:noVBand="1"/>
      </w:tblPr>
      <w:tblGrid>
        <w:gridCol w:w="4106"/>
        <w:gridCol w:w="5958"/>
        <w:gridCol w:w="1843"/>
        <w:gridCol w:w="1979"/>
      </w:tblGrid>
      <w:tr w:rsidR="00AC29E1" w:rsidRPr="00594A3F" w:rsidTr="00AE5204">
        <w:trPr>
          <w:trHeight w:val="537"/>
        </w:trPr>
        <w:tc>
          <w:tcPr>
            <w:tcW w:w="13886" w:type="dxa"/>
            <w:gridSpan w:val="4"/>
            <w:tcBorders>
              <w:top w:val="nil"/>
              <w:left w:val="nil"/>
              <w:bottom w:val="single" w:sz="4" w:space="0" w:color="auto"/>
              <w:right w:val="nil"/>
            </w:tcBorders>
            <w:noWrap/>
          </w:tcPr>
          <w:p w:rsidR="00AC29E1" w:rsidRDefault="00AC29E1" w:rsidP="00AE5204">
            <w:pPr>
              <w:spacing w:after="0" w:line="0" w:lineRule="atLeast"/>
              <w:jc w:val="right"/>
              <w:rPr>
                <w:b w:val="0"/>
                <w:bCs w:val="0"/>
                <w:sz w:val="24"/>
                <w:szCs w:val="24"/>
              </w:rPr>
            </w:pPr>
            <w:r>
              <w:rPr>
                <w:b w:val="0"/>
                <w:bCs w:val="0"/>
                <w:sz w:val="24"/>
                <w:szCs w:val="24"/>
              </w:rPr>
              <w:t xml:space="preserve">Додаток 1 </w:t>
            </w:r>
          </w:p>
          <w:p w:rsidR="00AC29E1" w:rsidRDefault="00AC29E1" w:rsidP="00AE5204">
            <w:pPr>
              <w:spacing w:after="0" w:line="0" w:lineRule="atLeast"/>
              <w:jc w:val="right"/>
              <w:rPr>
                <w:b w:val="0"/>
                <w:bCs w:val="0"/>
                <w:sz w:val="24"/>
                <w:szCs w:val="24"/>
              </w:rPr>
            </w:pPr>
            <w:r>
              <w:rPr>
                <w:b w:val="0"/>
                <w:bCs w:val="0"/>
                <w:sz w:val="24"/>
                <w:szCs w:val="24"/>
              </w:rPr>
              <w:t>до рішення виконкому від 27.06.2024 №98</w:t>
            </w:r>
          </w:p>
          <w:p w:rsidR="00AC29E1" w:rsidRDefault="00AC29E1" w:rsidP="00AE5204">
            <w:pPr>
              <w:spacing w:after="0" w:line="0" w:lineRule="atLeast"/>
              <w:jc w:val="center"/>
              <w:rPr>
                <w:sz w:val="24"/>
                <w:szCs w:val="24"/>
              </w:rPr>
            </w:pPr>
          </w:p>
          <w:p w:rsidR="00AC29E1" w:rsidRDefault="00AC29E1" w:rsidP="00AE5204">
            <w:pPr>
              <w:spacing w:after="0" w:line="0" w:lineRule="atLeast"/>
              <w:jc w:val="center"/>
              <w:rPr>
                <w:sz w:val="24"/>
                <w:szCs w:val="24"/>
              </w:rPr>
            </w:pPr>
            <w:r>
              <w:rPr>
                <w:sz w:val="24"/>
                <w:szCs w:val="24"/>
              </w:rPr>
              <w:t>НОМЕНКЛАТУРА</w:t>
            </w:r>
          </w:p>
          <w:p w:rsidR="00AC29E1" w:rsidRDefault="00AC29E1" w:rsidP="00AE5204">
            <w:pPr>
              <w:spacing w:after="0" w:line="0" w:lineRule="atLeast"/>
              <w:jc w:val="center"/>
              <w:rPr>
                <w:sz w:val="24"/>
                <w:szCs w:val="24"/>
              </w:rPr>
            </w:pPr>
            <w:r>
              <w:rPr>
                <w:sz w:val="24"/>
                <w:szCs w:val="24"/>
              </w:rPr>
              <w:t>місцевих матеріальних резервів для запобігання виникненню надзвичайних ситуацій та ліквідації їх наслідків</w:t>
            </w:r>
          </w:p>
          <w:p w:rsidR="00AC29E1" w:rsidRDefault="00AC29E1" w:rsidP="00AE5204">
            <w:pPr>
              <w:spacing w:after="0" w:line="240" w:lineRule="auto"/>
              <w:jc w:val="center"/>
              <w:rPr>
                <w:rFonts w:eastAsia="Times New Roman"/>
                <w:color w:val="000000"/>
                <w:sz w:val="24"/>
                <w:szCs w:val="24"/>
                <w:lang w:eastAsia="ru-RU"/>
              </w:rPr>
            </w:pPr>
          </w:p>
        </w:tc>
      </w:tr>
      <w:tr w:rsidR="00AC29E1" w:rsidTr="00AE5204">
        <w:trPr>
          <w:trHeight w:val="537"/>
        </w:trPr>
        <w:tc>
          <w:tcPr>
            <w:tcW w:w="4106" w:type="dxa"/>
            <w:tcBorders>
              <w:top w:val="single" w:sz="4" w:space="0" w:color="auto"/>
              <w:left w:val="single" w:sz="4" w:space="0" w:color="auto"/>
              <w:bottom w:val="single" w:sz="4" w:space="0" w:color="auto"/>
              <w:right w:val="single" w:sz="4" w:space="0" w:color="auto"/>
            </w:tcBorders>
            <w:noWrap/>
            <w:hideMark/>
          </w:tcPr>
          <w:p w:rsidR="00AC29E1" w:rsidRDefault="00AC29E1" w:rsidP="00AE5204">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Вид заходів</w:t>
            </w:r>
          </w:p>
        </w:tc>
        <w:tc>
          <w:tcPr>
            <w:tcW w:w="5958" w:type="dxa"/>
            <w:tcBorders>
              <w:top w:val="single" w:sz="4" w:space="0" w:color="auto"/>
              <w:left w:val="nil"/>
              <w:bottom w:val="single" w:sz="4" w:space="0" w:color="auto"/>
              <w:right w:val="single" w:sz="4" w:space="0" w:color="auto"/>
            </w:tcBorders>
            <w:hideMark/>
          </w:tcPr>
          <w:p w:rsidR="00AC29E1" w:rsidRDefault="00AC29E1" w:rsidP="00AE5204">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Найменування матеріальних цінностей та запасів</w:t>
            </w:r>
          </w:p>
        </w:tc>
        <w:tc>
          <w:tcPr>
            <w:tcW w:w="1843" w:type="dxa"/>
            <w:tcBorders>
              <w:top w:val="single" w:sz="4" w:space="0" w:color="auto"/>
              <w:left w:val="nil"/>
              <w:bottom w:val="single" w:sz="4" w:space="0" w:color="auto"/>
              <w:right w:val="single" w:sz="4" w:space="0" w:color="auto"/>
            </w:tcBorders>
            <w:hideMark/>
          </w:tcPr>
          <w:p w:rsidR="00AC29E1" w:rsidRDefault="00AC29E1" w:rsidP="00AE5204">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Одиниця виміру</w:t>
            </w:r>
          </w:p>
        </w:tc>
        <w:tc>
          <w:tcPr>
            <w:tcW w:w="1979" w:type="dxa"/>
            <w:tcBorders>
              <w:top w:val="single" w:sz="4" w:space="0" w:color="auto"/>
              <w:left w:val="nil"/>
              <w:bottom w:val="single" w:sz="4" w:space="0" w:color="auto"/>
              <w:right w:val="single" w:sz="4" w:space="0" w:color="auto"/>
            </w:tcBorders>
            <w:hideMark/>
          </w:tcPr>
          <w:p w:rsidR="00AC29E1" w:rsidRDefault="00AC29E1" w:rsidP="00AE5204">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Кількість</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Для реалізації заходів з евакуації населення (працівників), матеріальних і культурних цінностей</w:t>
            </w: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Намет</w:t>
            </w:r>
          </w:p>
        </w:tc>
        <w:tc>
          <w:tcPr>
            <w:tcW w:w="1843"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Подушка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Ліжко (ліжко розкладне)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Спальний мішок</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Матрац (</w:t>
            </w:r>
            <w:proofErr w:type="spellStart"/>
            <w:r>
              <w:rPr>
                <w:rFonts w:eastAsia="Times New Roman"/>
                <w:b w:val="0"/>
                <w:bCs w:val="0"/>
                <w:color w:val="000000"/>
                <w:sz w:val="24"/>
                <w:szCs w:val="24"/>
                <w:lang w:eastAsia="ru-RU"/>
              </w:rPr>
              <w:t>каремат</w:t>
            </w:r>
            <w:proofErr w:type="spellEnd"/>
            <w:r>
              <w:rPr>
                <w:rFonts w:eastAsia="Times New Roman"/>
                <w:b w:val="0"/>
                <w:bCs w:val="0"/>
                <w:color w:val="000000"/>
                <w:sz w:val="24"/>
                <w:szCs w:val="24"/>
                <w:lang w:eastAsia="ru-RU"/>
              </w:rPr>
              <w:t>)</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Ковдра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Комплекти змінного взуття, одягу, натільної білизни</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Теплова гармата, конвектор, обігрівач</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од.</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Твердопаливний котел (піч, </w:t>
            </w:r>
            <w:proofErr w:type="spellStart"/>
            <w:r>
              <w:rPr>
                <w:rFonts w:eastAsia="Times New Roman"/>
                <w:b w:val="0"/>
                <w:bCs w:val="0"/>
                <w:color w:val="000000"/>
                <w:sz w:val="24"/>
                <w:szCs w:val="24"/>
                <w:lang w:eastAsia="ru-RU"/>
              </w:rPr>
              <w:t>булер’ян</w:t>
            </w:r>
            <w:proofErr w:type="spellEnd"/>
            <w:r>
              <w:rPr>
                <w:rFonts w:eastAsia="Times New Roman"/>
                <w:b w:val="0"/>
                <w:bCs w:val="0"/>
                <w:color w:val="000000"/>
                <w:sz w:val="24"/>
                <w:szCs w:val="24"/>
                <w:lang w:eastAsia="ru-RU"/>
              </w:rPr>
              <w:t>)</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од.</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Генератор</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Одноразовий посуд</w:t>
            </w:r>
          </w:p>
        </w:tc>
        <w:tc>
          <w:tcPr>
            <w:tcW w:w="1843"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Продукти харчування (сухий пайок)</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Вода </w:t>
            </w:r>
            <w:proofErr w:type="spellStart"/>
            <w:r>
              <w:rPr>
                <w:rFonts w:eastAsia="Times New Roman"/>
                <w:b w:val="0"/>
                <w:bCs w:val="0"/>
                <w:color w:val="000000"/>
                <w:sz w:val="24"/>
                <w:szCs w:val="24"/>
                <w:lang w:eastAsia="ru-RU"/>
              </w:rPr>
              <w:t>бутильована</w:t>
            </w:r>
            <w:proofErr w:type="spellEnd"/>
          </w:p>
        </w:tc>
        <w:tc>
          <w:tcPr>
            <w:tcW w:w="1843"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бутиль</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Сухий пайок для харчування на добу</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Для розгортання пунктів тимчасового перебування постраждалих у разі загрози виникнення або виникнення НС, пов’язаних із припиненням (порушенням) роботи систем централізованого водопостачання, водовідведення, </w:t>
            </w:r>
            <w:proofErr w:type="spellStart"/>
            <w:r>
              <w:rPr>
                <w:rFonts w:eastAsia="Times New Roman"/>
                <w:b w:val="0"/>
                <w:bCs w:val="0"/>
                <w:color w:val="000000"/>
                <w:sz w:val="24"/>
                <w:szCs w:val="24"/>
                <w:lang w:eastAsia="ru-RU"/>
              </w:rPr>
              <w:t>електро</w:t>
            </w:r>
            <w:proofErr w:type="spellEnd"/>
            <w:r>
              <w:rPr>
                <w:rFonts w:eastAsia="Times New Roman"/>
                <w:b w:val="0"/>
                <w:bCs w:val="0"/>
                <w:color w:val="000000"/>
                <w:sz w:val="24"/>
                <w:szCs w:val="24"/>
                <w:lang w:eastAsia="ru-RU"/>
              </w:rPr>
              <w:t xml:space="preserve">-, газо- та </w:t>
            </w:r>
            <w:r>
              <w:rPr>
                <w:rFonts w:eastAsia="Times New Roman"/>
                <w:b w:val="0"/>
                <w:bCs w:val="0"/>
                <w:color w:val="000000"/>
                <w:sz w:val="24"/>
                <w:szCs w:val="24"/>
                <w:lang w:eastAsia="ru-RU"/>
              </w:rPr>
              <w:lastRenderedPageBreak/>
              <w:t>теплопостачання (в осінньо-зимовий період)</w:t>
            </w: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lastRenderedPageBreak/>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Електричні подовжувачі</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3</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Автономні пересувні електростанції/генератори</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од.</w:t>
            </w:r>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Твердопаливний котел (піч, </w:t>
            </w:r>
            <w:proofErr w:type="spellStart"/>
            <w:r>
              <w:rPr>
                <w:rFonts w:eastAsia="Times New Roman"/>
                <w:b w:val="0"/>
                <w:bCs w:val="0"/>
                <w:color w:val="000000"/>
                <w:sz w:val="24"/>
                <w:szCs w:val="24"/>
                <w:lang w:eastAsia="ru-RU"/>
              </w:rPr>
              <w:t>булер’ян</w:t>
            </w:r>
            <w:proofErr w:type="spellEnd"/>
            <w:r>
              <w:rPr>
                <w:rFonts w:eastAsia="Times New Roman"/>
                <w:b w:val="0"/>
                <w:bCs w:val="0"/>
                <w:color w:val="000000"/>
                <w:sz w:val="24"/>
                <w:szCs w:val="24"/>
                <w:lang w:eastAsia="ru-RU"/>
              </w:rPr>
              <w:t>)</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Теплова гармата, конвектор, обігрівач</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Аптечка для надання </w:t>
            </w:r>
            <w:proofErr w:type="spellStart"/>
            <w:r>
              <w:rPr>
                <w:rFonts w:eastAsia="Times New Roman"/>
                <w:b w:val="0"/>
                <w:bCs w:val="0"/>
                <w:color w:val="000000"/>
                <w:sz w:val="24"/>
                <w:szCs w:val="24"/>
                <w:lang w:eastAsia="ru-RU"/>
              </w:rPr>
              <w:t>домедичної</w:t>
            </w:r>
            <w:proofErr w:type="spellEnd"/>
            <w:r>
              <w:rPr>
                <w:rFonts w:eastAsia="Times New Roman"/>
                <w:b w:val="0"/>
                <w:bCs w:val="0"/>
                <w:color w:val="000000"/>
                <w:sz w:val="24"/>
                <w:szCs w:val="24"/>
                <w:lang w:eastAsia="ru-RU"/>
              </w:rPr>
              <w:t xml:space="preserve"> допомоги</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8</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Вогнегасник</w:t>
            </w:r>
          </w:p>
        </w:tc>
        <w:tc>
          <w:tcPr>
            <w:tcW w:w="1843"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16</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Одноразовий посуд</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од</w:t>
            </w:r>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Термопот</w:t>
            </w:r>
            <w:proofErr w:type="spellEnd"/>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од</w:t>
            </w:r>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Розкладні стільці та столи</w:t>
            </w:r>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од</w:t>
            </w:r>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Автономні </w:t>
            </w:r>
            <w:proofErr w:type="spellStart"/>
            <w:r>
              <w:rPr>
                <w:rFonts w:eastAsia="Times New Roman"/>
                <w:b w:val="0"/>
                <w:bCs w:val="0"/>
                <w:color w:val="000000"/>
                <w:sz w:val="24"/>
                <w:szCs w:val="24"/>
                <w:lang w:eastAsia="ru-RU"/>
              </w:rPr>
              <w:t>біотуалети</w:t>
            </w:r>
            <w:proofErr w:type="spellEnd"/>
          </w:p>
        </w:tc>
        <w:tc>
          <w:tcPr>
            <w:tcW w:w="1843"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од</w:t>
            </w:r>
          </w:p>
        </w:tc>
        <w:tc>
          <w:tcPr>
            <w:tcW w:w="1979" w:type="dxa"/>
            <w:tcBorders>
              <w:top w:val="nil"/>
              <w:left w:val="nil"/>
              <w:bottom w:val="single" w:sz="4" w:space="0" w:color="auto"/>
              <w:right w:val="single" w:sz="4" w:space="0" w:color="auto"/>
            </w:tcBorders>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Для відновлення інфраструктури, будинків</w:t>
            </w: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Сокира теслярська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штикова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совкова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Кирка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Лом звичайний</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Кувалда важка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Бензо</w:t>
            </w:r>
            <w:proofErr w:type="spellEnd"/>
            <w:r>
              <w:rPr>
                <w:rFonts w:eastAsia="Times New Roman"/>
                <w:b w:val="0"/>
                <w:bCs w:val="0"/>
                <w:color w:val="000000"/>
                <w:sz w:val="24"/>
                <w:szCs w:val="24"/>
                <w:lang w:eastAsia="ru-RU"/>
              </w:rPr>
              <w:t xml:space="preserve">-, </w:t>
            </w:r>
            <w:proofErr w:type="spellStart"/>
            <w:r>
              <w:rPr>
                <w:rFonts w:eastAsia="Times New Roman"/>
                <w:b w:val="0"/>
                <w:bCs w:val="0"/>
                <w:color w:val="000000"/>
                <w:sz w:val="24"/>
                <w:szCs w:val="24"/>
                <w:lang w:eastAsia="ru-RU"/>
              </w:rPr>
              <w:t>пневмо</w:t>
            </w:r>
            <w:proofErr w:type="spellEnd"/>
            <w:r>
              <w:rPr>
                <w:rFonts w:eastAsia="Times New Roman"/>
                <w:b w:val="0"/>
                <w:bCs w:val="0"/>
                <w:color w:val="000000"/>
                <w:sz w:val="24"/>
                <w:szCs w:val="24"/>
                <w:lang w:eastAsia="ru-RU"/>
              </w:rPr>
              <w:t>-, електроінструмент</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Олива для </w:t>
            </w:r>
            <w:proofErr w:type="spellStart"/>
            <w:r>
              <w:rPr>
                <w:rFonts w:eastAsia="Times New Roman"/>
                <w:b w:val="0"/>
                <w:bCs w:val="0"/>
                <w:color w:val="000000"/>
                <w:sz w:val="24"/>
                <w:szCs w:val="24"/>
                <w:lang w:eastAsia="ru-RU"/>
              </w:rPr>
              <w:t>бензоінструмету</w:t>
            </w:r>
            <w:proofErr w:type="spellEnd"/>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Для здійснення заходів щодо забезпечення пожежної безпеки та гасіння пожеж у природних екологічних системах</w:t>
            </w: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штикова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Сокира теслярська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совкова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штикова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Сокира теслярська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совкова</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шт</w:t>
            </w:r>
            <w:proofErr w:type="spellEnd"/>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Для запобігання виникненню НС і ліквідації їх наслідків у зонах можливого біологічного зараження</w:t>
            </w: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Протигаз фільтруючий у комплекті</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Респіратори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Рукавички захисні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пар</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Костюм біологічного захисту (за необхідності)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Комплекси спеціальної обробки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Комплекси санітарної обробки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Обприскувачі для проведення дезінфекції</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3</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Захисні окуляри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Автономні електростанції / генератори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Для запобігання виникненню НС і ліквідації їх наслідків у зонах можливого радіоактивного забруднення</w:t>
            </w: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Протигаз фільтруючий у комплекті</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Респіратори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Прилади радіаційної розвідки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Дозиметри індивідуальні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Рукавички захисні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пар</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Дезактивуючі</w:t>
            </w:r>
            <w:proofErr w:type="spellEnd"/>
            <w:r>
              <w:rPr>
                <w:rFonts w:eastAsia="Times New Roman"/>
                <w:b w:val="0"/>
                <w:bCs w:val="0"/>
                <w:color w:val="000000"/>
                <w:sz w:val="24"/>
                <w:szCs w:val="24"/>
                <w:lang w:eastAsia="ru-RU"/>
              </w:rPr>
              <w:t xml:space="preserve"> засоби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кг</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Захисний одяг захисту від забруднення радіоактивними речовинами (за необхідності)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Комплекси спеціальної обробки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Комплекси санітарної обробки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Захисні окуляри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Автономні електростанції / генератори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 xml:space="preserve">Для запобігання виникненню НС і ліквідації їх наслідків у зонах </w:t>
            </w:r>
            <w:r>
              <w:rPr>
                <w:rFonts w:eastAsia="Times New Roman"/>
                <w:b w:val="0"/>
                <w:bCs w:val="0"/>
                <w:color w:val="000000"/>
                <w:sz w:val="24"/>
                <w:szCs w:val="24"/>
                <w:lang w:eastAsia="ru-RU"/>
              </w:rPr>
              <w:lastRenderedPageBreak/>
              <w:t>можливого хімічного забруднення з витоком небезпечних хімічних речовин</w:t>
            </w: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lastRenderedPageBreak/>
              <w:t>Бензин</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Дизельне пальне</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бензинових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Моторна олива для дизельних двигунів</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л</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vAlign w:val="bottom"/>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Протигаз фільтруючий у комплекті</w:t>
            </w:r>
          </w:p>
        </w:tc>
        <w:tc>
          <w:tcPr>
            <w:tcW w:w="1843"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Респіратори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Газоаналізатори універсальні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8</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Прилади хімічної розвідки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Рукавички захисні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пар</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Костюм хімічного захисту (за необхідності)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Костюм кислотостійкий (за необхідності)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Комплекси спеціальної обробки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Комплекси санітарної обробки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Обприскувачі для проведення дезінфекції</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3</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Захисні окуляри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Автономні електростанції / генератори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Для запобігання виникненню та ліквідації наслідків НС, небезпечних подій, пов’язаних із гідрологічними явищами (водопілля, паводки, затоплення)</w:t>
            </w: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Мішки для сипучих матеріалів</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Насоси для відкачування води різної потужності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4</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Рятувальні мотузки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м</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Ліхтар груповий акумуляторний</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Чоботи гумові</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пар</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Рятувальний кінець Александрова типу КК-1</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Засоби для знезараження води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proofErr w:type="spellStart"/>
            <w:r>
              <w:rPr>
                <w:rFonts w:eastAsia="Times New Roman"/>
                <w:b w:val="0"/>
                <w:bCs w:val="0"/>
                <w:color w:val="000000"/>
                <w:sz w:val="24"/>
                <w:szCs w:val="24"/>
                <w:lang w:eastAsia="ru-RU"/>
              </w:rPr>
              <w:t>уп</w:t>
            </w:r>
            <w:proofErr w:type="spellEnd"/>
            <w:r>
              <w:rPr>
                <w:rFonts w:eastAsia="Times New Roman"/>
                <w:b w:val="0"/>
                <w:bCs w:val="0"/>
                <w:color w:val="000000"/>
                <w:sz w:val="24"/>
                <w:szCs w:val="24"/>
                <w:lang w:eastAsia="ru-RU"/>
              </w:rPr>
              <w:t>.</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00"/>
        </w:trPr>
        <w:tc>
          <w:tcPr>
            <w:tcW w:w="4106" w:type="dxa"/>
            <w:vMerge w:val="restart"/>
            <w:tcBorders>
              <w:top w:val="nil"/>
              <w:left w:val="single" w:sz="4" w:space="0" w:color="auto"/>
              <w:bottom w:val="single" w:sz="4" w:space="0" w:color="auto"/>
              <w:right w:val="single" w:sz="4" w:space="0" w:color="auto"/>
            </w:tcBorders>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Для запобігання та ліквідації аварій на вибухонебезпечних та пожежонебезпечних об’єктах (АЗС)</w:t>
            </w: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совкова</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8</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Лопата штикова</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8</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Лом</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3</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Мішки для сипучих матеріалів</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200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Вогнегасники порошкового або вуглекислотного типів</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шт.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Стрічка обмежувальна</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м</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50</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Пересувна освітлювальна вежа</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r w:rsidR="00AC29E1" w:rsidTr="00AE5204">
        <w:trPr>
          <w:trHeight w:val="315"/>
        </w:trPr>
        <w:tc>
          <w:tcPr>
            <w:tcW w:w="0" w:type="auto"/>
            <w:vMerge/>
            <w:tcBorders>
              <w:top w:val="nil"/>
              <w:left w:val="single" w:sz="4" w:space="0" w:color="auto"/>
              <w:bottom w:val="single" w:sz="4" w:space="0" w:color="auto"/>
              <w:right w:val="single" w:sz="4" w:space="0" w:color="auto"/>
            </w:tcBorders>
            <w:vAlign w:val="center"/>
            <w:hideMark/>
          </w:tcPr>
          <w:p w:rsidR="00AC29E1" w:rsidRDefault="00AC29E1" w:rsidP="00AE5204">
            <w:pPr>
              <w:spacing w:after="0" w:line="240" w:lineRule="auto"/>
              <w:rPr>
                <w:rFonts w:eastAsia="Times New Roman"/>
                <w:b w:val="0"/>
                <w:bCs w:val="0"/>
                <w:color w:val="000000"/>
                <w:sz w:val="24"/>
                <w:szCs w:val="24"/>
                <w:lang w:eastAsia="ru-RU"/>
              </w:rPr>
            </w:pPr>
          </w:p>
        </w:tc>
        <w:tc>
          <w:tcPr>
            <w:tcW w:w="5958"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rPr>
                <w:rFonts w:eastAsia="Times New Roman"/>
                <w:b w:val="0"/>
                <w:bCs w:val="0"/>
                <w:color w:val="000000"/>
                <w:sz w:val="24"/>
                <w:szCs w:val="24"/>
                <w:lang w:eastAsia="ru-RU"/>
              </w:rPr>
            </w:pPr>
            <w:r>
              <w:rPr>
                <w:rFonts w:eastAsia="Times New Roman"/>
                <w:b w:val="0"/>
                <w:bCs w:val="0"/>
                <w:color w:val="000000"/>
                <w:sz w:val="24"/>
                <w:szCs w:val="24"/>
                <w:lang w:eastAsia="ru-RU"/>
              </w:rPr>
              <w:t>Автономні пересувні електростанції / генератори</w:t>
            </w:r>
          </w:p>
        </w:tc>
        <w:tc>
          <w:tcPr>
            <w:tcW w:w="1843" w:type="dxa"/>
            <w:tcBorders>
              <w:top w:val="nil"/>
              <w:left w:val="nil"/>
              <w:bottom w:val="single" w:sz="4" w:space="0" w:color="auto"/>
              <w:right w:val="single" w:sz="4" w:space="0" w:color="auto"/>
            </w:tcBorders>
            <w:shd w:val="clear" w:color="auto" w:fill="FFFFFF"/>
            <w:noWrap/>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к-т</w:t>
            </w:r>
          </w:p>
        </w:tc>
        <w:tc>
          <w:tcPr>
            <w:tcW w:w="1979" w:type="dxa"/>
            <w:tcBorders>
              <w:top w:val="nil"/>
              <w:left w:val="nil"/>
              <w:bottom w:val="single" w:sz="4" w:space="0" w:color="auto"/>
              <w:right w:val="single" w:sz="4" w:space="0" w:color="auto"/>
            </w:tcBorders>
            <w:noWrap/>
            <w:vAlign w:val="bottom"/>
            <w:hideMark/>
          </w:tcPr>
          <w:p w:rsidR="00AC29E1" w:rsidRDefault="00AC29E1" w:rsidP="00AE5204">
            <w:pPr>
              <w:spacing w:after="0" w:line="240" w:lineRule="auto"/>
              <w:jc w:val="center"/>
              <w:rPr>
                <w:rFonts w:eastAsia="Times New Roman"/>
                <w:b w:val="0"/>
                <w:bCs w:val="0"/>
                <w:color w:val="000000"/>
                <w:sz w:val="24"/>
                <w:szCs w:val="24"/>
                <w:lang w:eastAsia="ru-RU"/>
              </w:rPr>
            </w:pPr>
            <w:r>
              <w:rPr>
                <w:rFonts w:eastAsia="Times New Roman"/>
                <w:b w:val="0"/>
                <w:bCs w:val="0"/>
                <w:color w:val="000000"/>
                <w:sz w:val="24"/>
                <w:szCs w:val="24"/>
                <w:lang w:eastAsia="ru-RU"/>
              </w:rPr>
              <w:t>1</w:t>
            </w:r>
          </w:p>
        </w:tc>
      </w:tr>
    </w:tbl>
    <w:p w:rsidR="00AC29E1" w:rsidRDefault="00AC29E1" w:rsidP="00AC29E1">
      <w:pPr>
        <w:jc w:val="center"/>
        <w:rPr>
          <w:b w:val="0"/>
          <w:bCs w:val="0"/>
        </w:rPr>
      </w:pPr>
    </w:p>
    <w:p w:rsidR="00AC29E1" w:rsidRDefault="00AC29E1" w:rsidP="00AC29E1">
      <w:pPr>
        <w:jc w:val="both"/>
        <w:rPr>
          <w:b w:val="0"/>
          <w:bCs w:val="0"/>
        </w:rPr>
      </w:pPr>
      <w:r>
        <w:rPr>
          <w:b w:val="0"/>
          <w:bCs w:val="0"/>
        </w:rPr>
        <w:t>Секретар сільської ради, виконкому                                                                                                                     Інна НЕВГОД</w:t>
      </w:r>
    </w:p>
    <w:p w:rsidR="00AC29E1" w:rsidRDefault="00AC29E1" w:rsidP="00AC29E1">
      <w:pPr>
        <w:spacing w:after="0"/>
        <w:rPr>
          <w:b w:val="0"/>
          <w:bCs w:val="0"/>
        </w:rPr>
        <w:sectPr w:rsidR="00AC29E1" w:rsidSect="00AC29E1">
          <w:pgSz w:w="16838" w:h="11906" w:orient="landscape"/>
          <w:pgMar w:top="851" w:right="1134" w:bottom="567" w:left="1134" w:header="709" w:footer="709" w:gutter="0"/>
          <w:cols w:space="720"/>
        </w:sectPr>
      </w:pPr>
    </w:p>
    <w:p w:rsidR="00AC29E1" w:rsidRDefault="00AC29E1" w:rsidP="00AC29E1">
      <w:pPr>
        <w:spacing w:after="0" w:line="0" w:lineRule="atLeast"/>
        <w:jc w:val="right"/>
        <w:rPr>
          <w:b w:val="0"/>
          <w:bCs w:val="0"/>
          <w:sz w:val="24"/>
          <w:szCs w:val="24"/>
        </w:rPr>
      </w:pPr>
      <w:r>
        <w:rPr>
          <w:b w:val="0"/>
          <w:bCs w:val="0"/>
          <w:sz w:val="24"/>
          <w:szCs w:val="24"/>
        </w:rPr>
        <w:lastRenderedPageBreak/>
        <w:t xml:space="preserve">Додаток 2 </w:t>
      </w:r>
    </w:p>
    <w:p w:rsidR="00AC29E1" w:rsidRDefault="00AC29E1" w:rsidP="00AC29E1">
      <w:pPr>
        <w:spacing w:after="0" w:line="0" w:lineRule="atLeast"/>
        <w:jc w:val="right"/>
        <w:rPr>
          <w:b w:val="0"/>
          <w:bCs w:val="0"/>
          <w:sz w:val="24"/>
          <w:szCs w:val="24"/>
        </w:rPr>
      </w:pPr>
      <w:r>
        <w:rPr>
          <w:b w:val="0"/>
          <w:bCs w:val="0"/>
          <w:sz w:val="24"/>
          <w:szCs w:val="24"/>
        </w:rPr>
        <w:t>до рішення виконкому від 27.06.2024 №98</w:t>
      </w:r>
    </w:p>
    <w:p w:rsidR="00AC29E1" w:rsidRDefault="00AC29E1" w:rsidP="00AC29E1">
      <w:pPr>
        <w:spacing w:line="240" w:lineRule="auto"/>
        <w:contextualSpacing/>
        <w:jc w:val="center"/>
        <w:rPr>
          <w:bCs w:val="0"/>
        </w:rPr>
      </w:pPr>
    </w:p>
    <w:p w:rsidR="00AC29E1" w:rsidRDefault="00AC29E1" w:rsidP="00AC29E1">
      <w:pPr>
        <w:spacing w:line="240" w:lineRule="auto"/>
        <w:contextualSpacing/>
        <w:jc w:val="center"/>
        <w:rPr>
          <w:bCs w:val="0"/>
        </w:rPr>
      </w:pPr>
    </w:p>
    <w:p w:rsidR="00AC29E1" w:rsidRPr="00594A3F" w:rsidRDefault="00AC29E1" w:rsidP="00AC29E1">
      <w:pPr>
        <w:spacing w:line="240" w:lineRule="auto"/>
        <w:contextualSpacing/>
        <w:jc w:val="center"/>
        <w:rPr>
          <w:bCs w:val="0"/>
        </w:rPr>
      </w:pPr>
      <w:r w:rsidRPr="00594A3F">
        <w:rPr>
          <w:bCs w:val="0"/>
        </w:rPr>
        <w:t>ПОРЯДОК</w:t>
      </w:r>
    </w:p>
    <w:p w:rsidR="00AC29E1" w:rsidRDefault="00AC29E1" w:rsidP="00AC29E1">
      <w:pPr>
        <w:spacing w:line="240" w:lineRule="auto"/>
        <w:contextualSpacing/>
        <w:jc w:val="center"/>
        <w:rPr>
          <w:b w:val="0"/>
          <w:bCs w:val="0"/>
        </w:rPr>
      </w:pPr>
      <w:r>
        <w:rPr>
          <w:b w:val="0"/>
          <w:bCs w:val="0"/>
        </w:rPr>
        <w:t xml:space="preserve">створення та використання місцевого матеріального резерву </w:t>
      </w:r>
      <w:proofErr w:type="spellStart"/>
      <w:r>
        <w:rPr>
          <w:b w:val="0"/>
          <w:bCs w:val="0"/>
        </w:rPr>
        <w:t>Степанківської</w:t>
      </w:r>
      <w:proofErr w:type="spellEnd"/>
      <w:r>
        <w:rPr>
          <w:b w:val="0"/>
          <w:bCs w:val="0"/>
        </w:rPr>
        <w:t xml:space="preserve"> сільської ради для запобігання і ліквідації наслідків надзвичайних ситуацій </w:t>
      </w:r>
    </w:p>
    <w:p w:rsidR="00AC29E1" w:rsidRDefault="00AC29E1" w:rsidP="00AC29E1">
      <w:pPr>
        <w:spacing w:line="240" w:lineRule="auto"/>
        <w:jc w:val="center"/>
      </w:pPr>
    </w:p>
    <w:p w:rsidR="00AC29E1" w:rsidRDefault="00AC29E1" w:rsidP="00AC29E1">
      <w:pPr>
        <w:spacing w:line="240" w:lineRule="auto"/>
        <w:jc w:val="center"/>
      </w:pPr>
      <w:r>
        <w:t>І. Загальні положення</w:t>
      </w:r>
    </w:p>
    <w:p w:rsidR="00AC29E1" w:rsidRDefault="00AC29E1" w:rsidP="00AC29E1">
      <w:pPr>
        <w:spacing w:line="240" w:lineRule="auto"/>
        <w:ind w:firstLine="567"/>
        <w:jc w:val="both"/>
        <w:rPr>
          <w:b w:val="0"/>
          <w:bCs w:val="0"/>
        </w:rPr>
      </w:pPr>
      <w:r>
        <w:rPr>
          <w:b w:val="0"/>
          <w:bCs w:val="0"/>
        </w:rPr>
        <w:t xml:space="preserve">1. Цей Порядок розроблено відповідно до вимог статті 98 Кодексу цивільного захисту України, постанови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з метою організації належної роботи щодо створення та використання місцевого матеріального резерву, здійснення контролю за його наявністю. </w:t>
      </w:r>
    </w:p>
    <w:p w:rsidR="00AC29E1" w:rsidRDefault="00AC29E1" w:rsidP="00AC29E1">
      <w:pPr>
        <w:spacing w:line="240" w:lineRule="auto"/>
        <w:ind w:firstLine="567"/>
        <w:jc w:val="both"/>
        <w:rPr>
          <w:b w:val="0"/>
          <w:bCs w:val="0"/>
        </w:rPr>
      </w:pPr>
      <w:r>
        <w:rPr>
          <w:b w:val="0"/>
          <w:bCs w:val="0"/>
        </w:rPr>
        <w:t xml:space="preserve">2. Порядок визначає основні напрямки створення та використання місцевого матеріального резерву у місцевій ланці територіальної підсистеми єдиної державної системи цивільного захисту для здійснення заходів, спрямованих на запобігання і ліквідацію наслідків надзвичайних ситуацій, надання термінової допомоги постраждалому населенню. </w:t>
      </w:r>
    </w:p>
    <w:p w:rsidR="00AC29E1" w:rsidRDefault="00AC29E1" w:rsidP="00AC29E1">
      <w:pPr>
        <w:spacing w:line="240" w:lineRule="auto"/>
        <w:ind w:firstLine="567"/>
        <w:jc w:val="both"/>
        <w:rPr>
          <w:b w:val="0"/>
          <w:bCs w:val="0"/>
        </w:rPr>
      </w:pPr>
      <w:r>
        <w:rPr>
          <w:b w:val="0"/>
          <w:bCs w:val="0"/>
        </w:rPr>
        <w:t xml:space="preserve">3. Матеріальним резервом є запас будівельних і паливно-мастильних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w:t>
      </w:r>
    </w:p>
    <w:p w:rsidR="00AC29E1" w:rsidRDefault="00AC29E1" w:rsidP="00AC29E1">
      <w:pPr>
        <w:spacing w:line="240" w:lineRule="auto"/>
        <w:ind w:firstLine="567"/>
        <w:jc w:val="both"/>
        <w:rPr>
          <w:b w:val="0"/>
          <w:bCs w:val="0"/>
        </w:rPr>
      </w:pPr>
      <w:r>
        <w:rPr>
          <w:b w:val="0"/>
          <w:bCs w:val="0"/>
        </w:rPr>
        <w:t xml:space="preserve">4. Сектор з питань цивільного захисту, пожежної безпеки, охорони праці, питань правопорядку, безпеки громадян та благоустрою </w:t>
      </w:r>
      <w:proofErr w:type="spellStart"/>
      <w:r>
        <w:rPr>
          <w:b w:val="0"/>
          <w:bCs w:val="0"/>
        </w:rPr>
        <w:t>Степанківської</w:t>
      </w:r>
      <w:proofErr w:type="spellEnd"/>
      <w:r>
        <w:rPr>
          <w:b w:val="0"/>
          <w:bCs w:val="0"/>
        </w:rPr>
        <w:t xml:space="preserve"> сільської ради забезпечує згідно з відповідними рішеннями місцевої комісії з питань техногенно-екологічної безпеки і надзвичайних ситуацій (далі – комісія з питань ТЕБ і НС) створення, накопичення, розподіл та видачу матеріально-технічних засобів місцевого матеріального резерву для запобігання і ліквідації наслідків надзвичайних ситуацій, у тому числі засобів радіаційного і хімічного захисту для забезпечення непрацюючого населення і сил цивільного захисту, а також проведення заходів з життєзабезпечення постраждалого населення і надання йому допомоги. </w:t>
      </w:r>
    </w:p>
    <w:p w:rsidR="00AC29E1" w:rsidRDefault="00AC29E1" w:rsidP="00AC29E1">
      <w:pPr>
        <w:spacing w:line="240" w:lineRule="auto"/>
        <w:ind w:firstLine="567"/>
        <w:jc w:val="center"/>
      </w:pPr>
      <w:r>
        <w:t>ІІ. Створення місцевого матеріального резерву</w:t>
      </w:r>
    </w:p>
    <w:p w:rsidR="00AC29E1" w:rsidRDefault="00AC29E1" w:rsidP="00AC29E1">
      <w:pPr>
        <w:spacing w:line="240" w:lineRule="auto"/>
        <w:ind w:firstLine="567"/>
        <w:jc w:val="both"/>
        <w:rPr>
          <w:b w:val="0"/>
          <w:bCs w:val="0"/>
        </w:rPr>
      </w:pPr>
      <w:r>
        <w:rPr>
          <w:b w:val="0"/>
          <w:bCs w:val="0"/>
        </w:rPr>
        <w:lastRenderedPageBreak/>
        <w:t xml:space="preserve">1. Місцевий матеріальний резерв (далі – матеріальний резерв) створюється </w:t>
      </w:r>
      <w:proofErr w:type="spellStart"/>
      <w:r>
        <w:rPr>
          <w:b w:val="0"/>
          <w:bCs w:val="0"/>
        </w:rPr>
        <w:t>Степанківською</w:t>
      </w:r>
      <w:proofErr w:type="spellEnd"/>
      <w:r>
        <w:rPr>
          <w:b w:val="0"/>
          <w:bCs w:val="0"/>
        </w:rPr>
        <w:t xml:space="preserve"> сільською радою для здійснення заходів, спрямованих на запобігання і ліквідацію наслідків надзвичайних ситуацій, надання термінової допомоги постраждалому населенню. </w:t>
      </w:r>
    </w:p>
    <w:p w:rsidR="00AC29E1" w:rsidRDefault="00AC29E1" w:rsidP="00AC29E1">
      <w:pPr>
        <w:spacing w:line="240" w:lineRule="auto"/>
        <w:ind w:firstLine="567"/>
        <w:jc w:val="both"/>
        <w:rPr>
          <w:b w:val="0"/>
          <w:bCs w:val="0"/>
        </w:rPr>
      </w:pPr>
      <w:r>
        <w:rPr>
          <w:b w:val="0"/>
          <w:bCs w:val="0"/>
        </w:rPr>
        <w:t xml:space="preserve">2. Створення, утримання та поповнення матеріального резерву здійснюється за рахунок коштів місцевого бюджету, а також може здійснюватися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w:t>
      </w:r>
    </w:p>
    <w:p w:rsidR="00AC29E1" w:rsidRDefault="00AC29E1" w:rsidP="00AC29E1">
      <w:pPr>
        <w:spacing w:line="240" w:lineRule="auto"/>
        <w:ind w:firstLine="567"/>
        <w:jc w:val="both"/>
        <w:rPr>
          <w:b w:val="0"/>
          <w:bCs w:val="0"/>
        </w:rPr>
      </w:pPr>
      <w:r>
        <w:rPr>
          <w:b w:val="0"/>
          <w:bCs w:val="0"/>
        </w:rPr>
        <w:t>3. Номенклатура та обсяги матеріального резерву визначаються з урахуванням прогнозованих для території громади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w:t>
      </w:r>
    </w:p>
    <w:p w:rsidR="00AC29E1" w:rsidRDefault="00AC29E1" w:rsidP="00AC29E1">
      <w:pPr>
        <w:spacing w:line="240" w:lineRule="auto"/>
        <w:ind w:firstLine="567"/>
        <w:jc w:val="both"/>
        <w:rPr>
          <w:b w:val="0"/>
          <w:bCs w:val="0"/>
        </w:rPr>
      </w:pPr>
      <w:r>
        <w:rPr>
          <w:b w:val="0"/>
          <w:bCs w:val="0"/>
        </w:rPr>
        <w:t xml:space="preserve">4. Місця розміщення матеріального резерву, його номенклатура, обсяги та плани (графіки) накопичення затверджуються рішенням комісії з питань ТЕБ і НС з урахуванням пропозицій зацікавлених відділів та комунальних установ </w:t>
      </w:r>
      <w:proofErr w:type="spellStart"/>
      <w:r>
        <w:rPr>
          <w:b w:val="0"/>
          <w:bCs w:val="0"/>
        </w:rPr>
        <w:t>Степанківської</w:t>
      </w:r>
      <w:proofErr w:type="spellEnd"/>
      <w:r>
        <w:rPr>
          <w:b w:val="0"/>
          <w:bCs w:val="0"/>
        </w:rPr>
        <w:t xml:space="preserve"> сільської ради. Матеріально-технічні цінності, зараховані до матеріального резерву, розміщуються на об’єктах підприємств, установ, організацій, призначених або пристосованих для їх зберігання.</w:t>
      </w:r>
    </w:p>
    <w:p w:rsidR="00AC29E1" w:rsidRDefault="00AC29E1" w:rsidP="00AC29E1">
      <w:pPr>
        <w:spacing w:line="240" w:lineRule="auto"/>
        <w:ind w:firstLine="567"/>
        <w:jc w:val="both"/>
        <w:rPr>
          <w:b w:val="0"/>
          <w:bCs w:val="0"/>
        </w:rPr>
      </w:pPr>
      <w:r>
        <w:rPr>
          <w:b w:val="0"/>
          <w:bCs w:val="0"/>
        </w:rPr>
        <w:t xml:space="preserve">5. Матеріальні цінності, що надходять до матеріального резерву, повинні мати сертифікат відповідності на весь нормативний строк їх зберігання. </w:t>
      </w:r>
    </w:p>
    <w:p w:rsidR="00AC29E1" w:rsidRDefault="00AC29E1" w:rsidP="00AC29E1">
      <w:pPr>
        <w:spacing w:line="240" w:lineRule="auto"/>
        <w:ind w:firstLine="567"/>
        <w:jc w:val="both"/>
        <w:rPr>
          <w:b w:val="0"/>
          <w:bCs w:val="0"/>
        </w:rPr>
      </w:pPr>
      <w:r>
        <w:rPr>
          <w:b w:val="0"/>
          <w:bCs w:val="0"/>
        </w:rPr>
        <w:t xml:space="preserve">6. Накопичення матеріального резерву здійснюється за планами (графіками) накопичення та номенклатурою, в межах коштів, виділених з місцевого бюджету та інших незаборонених законодавством джерел. Поновлення матеріального резерву, що був використаний під час запобігання або ліквідації наслідків надзвичайних ситуацій, здійснюється за рахунок коштів, передбачених у місцевому бюджеті на його створення і накопичення. </w:t>
      </w:r>
    </w:p>
    <w:p w:rsidR="00AC29E1" w:rsidRDefault="00AC29E1" w:rsidP="00AC29E1">
      <w:pPr>
        <w:spacing w:line="240" w:lineRule="auto"/>
        <w:ind w:firstLine="567"/>
        <w:jc w:val="center"/>
      </w:pPr>
      <w:r>
        <w:t>ІІІ. Використання матеріального резерву</w:t>
      </w:r>
    </w:p>
    <w:p w:rsidR="00AC29E1" w:rsidRDefault="00AC29E1" w:rsidP="00AC29E1">
      <w:pPr>
        <w:spacing w:after="0" w:line="240" w:lineRule="auto"/>
        <w:ind w:firstLine="567"/>
        <w:jc w:val="both"/>
        <w:rPr>
          <w:b w:val="0"/>
          <w:bCs w:val="0"/>
        </w:rPr>
      </w:pPr>
      <w:r>
        <w:rPr>
          <w:b w:val="0"/>
          <w:bCs w:val="0"/>
        </w:rPr>
        <w:t>1. Матеріальний резерв використовується виключно для:</w:t>
      </w:r>
    </w:p>
    <w:p w:rsidR="00AC29E1" w:rsidRDefault="00AC29E1" w:rsidP="00AC29E1">
      <w:pPr>
        <w:spacing w:after="0" w:line="240" w:lineRule="auto"/>
        <w:ind w:firstLine="567"/>
        <w:jc w:val="both"/>
        <w:rPr>
          <w:b w:val="0"/>
          <w:bCs w:val="0"/>
        </w:rPr>
      </w:pPr>
      <w:r>
        <w:rPr>
          <w:b w:val="0"/>
          <w:bCs w:val="0"/>
        </w:rPr>
        <w:t xml:space="preserve"> - здійснення запобіжних заходів у разі загрози виникнення надзвичайних ситуацій; ліквідації наслідків надзвичайних ситуацій; </w:t>
      </w:r>
    </w:p>
    <w:p w:rsidR="00AC29E1" w:rsidRDefault="00AC29E1" w:rsidP="00AC29E1">
      <w:pPr>
        <w:spacing w:after="0" w:line="240" w:lineRule="auto"/>
        <w:ind w:firstLine="567"/>
        <w:jc w:val="both"/>
        <w:rPr>
          <w:b w:val="0"/>
          <w:bCs w:val="0"/>
        </w:rPr>
      </w:pPr>
      <w:r>
        <w:rPr>
          <w:b w:val="0"/>
          <w:bCs w:val="0"/>
        </w:rPr>
        <w:t xml:space="preserve">- проведення невідкладних відновлювальних робіт і заходів; </w:t>
      </w:r>
    </w:p>
    <w:p w:rsidR="00AC29E1" w:rsidRDefault="00AC29E1" w:rsidP="00AC29E1">
      <w:pPr>
        <w:spacing w:after="0" w:line="240" w:lineRule="auto"/>
        <w:ind w:firstLine="567"/>
        <w:jc w:val="both"/>
        <w:rPr>
          <w:b w:val="0"/>
          <w:bCs w:val="0"/>
        </w:rPr>
      </w:pPr>
      <w:r>
        <w:rPr>
          <w:b w:val="0"/>
          <w:bCs w:val="0"/>
        </w:rPr>
        <w:t xml:space="preserve">- надання постраждалому населенню необхідної допомоги для забезпечення його життєдіяльності; </w:t>
      </w:r>
    </w:p>
    <w:p w:rsidR="00AC29E1" w:rsidRDefault="00AC29E1" w:rsidP="00AC29E1">
      <w:pPr>
        <w:spacing w:after="0" w:line="240" w:lineRule="auto"/>
        <w:ind w:firstLine="567"/>
        <w:jc w:val="both"/>
        <w:rPr>
          <w:b w:val="0"/>
          <w:bCs w:val="0"/>
        </w:rPr>
      </w:pPr>
      <w:r>
        <w:rPr>
          <w:b w:val="0"/>
          <w:bCs w:val="0"/>
        </w:rPr>
        <w:lastRenderedPageBreak/>
        <w:t xml:space="preserve">- розгортання та утримання тимчасових пунктів проживання і харчування постраждалого населення; </w:t>
      </w:r>
    </w:p>
    <w:p w:rsidR="00AC29E1" w:rsidRDefault="00AC29E1" w:rsidP="00AC29E1">
      <w:pPr>
        <w:spacing w:after="0" w:line="240" w:lineRule="auto"/>
        <w:ind w:firstLine="567"/>
        <w:jc w:val="both"/>
        <w:rPr>
          <w:b w:val="0"/>
          <w:bCs w:val="0"/>
        </w:rPr>
      </w:pPr>
      <w:r>
        <w:rPr>
          <w:b w:val="0"/>
          <w:bCs w:val="0"/>
        </w:rPr>
        <w:t xml:space="preserve">- забезпечення паливно-мастильними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можливого ураження. </w:t>
      </w:r>
    </w:p>
    <w:p w:rsidR="00AC29E1" w:rsidRDefault="00AC29E1" w:rsidP="00AC29E1">
      <w:pPr>
        <w:spacing w:line="240" w:lineRule="auto"/>
        <w:ind w:firstLine="567"/>
        <w:jc w:val="both"/>
        <w:rPr>
          <w:b w:val="0"/>
          <w:bCs w:val="0"/>
        </w:rPr>
      </w:pPr>
      <w:r>
        <w:rPr>
          <w:b w:val="0"/>
          <w:bCs w:val="0"/>
        </w:rPr>
        <w:t xml:space="preserve">2. Матеріальний резерв залучається для ліквідації наслідків надзвичайних ситуацій місцевого рівня, а також у разі недостатньої наявності об'єктового матеріального резерву або повного його використання за зверненням керівника відповідного суб’єкту господарювання. Залучення матеріального резерву для проведення заходів, пов'язаних із запобіганням виникненню надзвичайних ситуацій техногенного та природного характеру, здійснюється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 </w:t>
      </w:r>
    </w:p>
    <w:p w:rsidR="00AC29E1" w:rsidRDefault="00AC29E1" w:rsidP="00AC29E1">
      <w:pPr>
        <w:spacing w:line="240" w:lineRule="auto"/>
        <w:ind w:firstLine="567"/>
        <w:jc w:val="both"/>
        <w:rPr>
          <w:b w:val="0"/>
          <w:bCs w:val="0"/>
        </w:rPr>
      </w:pPr>
      <w:r>
        <w:rPr>
          <w:b w:val="0"/>
          <w:bCs w:val="0"/>
        </w:rPr>
        <w:t xml:space="preserve">3. Використання матеріального резерву здійснюється на підставі рішення місцевої комісії з питань ТЕБ і НС, прийнятого відповідно до поданого мотивованого звернення керівника підприємства, установи, організації. Таке звернення подається на підставі документів, що містять обґрунтування необхідності залучення (використання) матеріальних цінностей місцевого матеріального резерву для вжиття заходів щодо запобігання надзвичайним ситуаціям (небезпечним подіям), забезпечення життєдіяльності населення, виробничої діяльності або захисту територій від загрозливих природних процесів. </w:t>
      </w:r>
    </w:p>
    <w:p w:rsidR="00AC29E1" w:rsidRDefault="00AC29E1" w:rsidP="00AC29E1">
      <w:pPr>
        <w:spacing w:line="240" w:lineRule="auto"/>
        <w:ind w:firstLine="567"/>
        <w:jc w:val="both"/>
        <w:rPr>
          <w:b w:val="0"/>
          <w:bCs w:val="0"/>
        </w:rPr>
      </w:pPr>
      <w:r>
        <w:rPr>
          <w:b w:val="0"/>
          <w:bCs w:val="0"/>
        </w:rPr>
        <w:t xml:space="preserve">4. На підставі рішення місцевої комісії з питань ТЕБ і НС підприємство, що утримує (зберігає) місцевий матеріальний резерв (далі – утримувач резерву), забезпечує відпуск матеріально-технічних цінностей спеціалізованим службам цивільного захисту, відповідним підприємствам, установам, організаціям для забезпечення виконання завдань, викладених у п. 1 цього розділу. Копії накладних та інформацію про залишки матеріально-технічних засобів матеріального резерву надаються голові місцевої комісії з питань ТЕБ і НС протягом двох годин після їх видачі. </w:t>
      </w:r>
    </w:p>
    <w:p w:rsidR="00AC29E1" w:rsidRDefault="00AC29E1" w:rsidP="00AC29E1">
      <w:pPr>
        <w:spacing w:line="240" w:lineRule="auto"/>
        <w:ind w:firstLine="567"/>
        <w:jc w:val="both"/>
        <w:rPr>
          <w:b w:val="0"/>
          <w:bCs w:val="0"/>
        </w:rPr>
      </w:pPr>
      <w:r>
        <w:rPr>
          <w:b w:val="0"/>
          <w:bCs w:val="0"/>
        </w:rPr>
        <w:t xml:space="preserve">5. Начальники спеціалізованих служб цивільного захисту, керівники суб’єктів господарювання, інші посадові особи, яким відповідно до рішення місцевої комісії з питань ТЕБ та НС було видано матеріально-технічні цінності місцевого матеріального резерву, у двотижневий термін надають звіти про їх використання голові комісії через сектор з питань цивільного захисту, пожежної безпеки, охорони праці, питань правопорядку, безпеки громадян та благоустрою </w:t>
      </w:r>
      <w:proofErr w:type="spellStart"/>
      <w:r>
        <w:rPr>
          <w:b w:val="0"/>
          <w:bCs w:val="0"/>
        </w:rPr>
        <w:t>Степанківської</w:t>
      </w:r>
      <w:proofErr w:type="spellEnd"/>
      <w:r>
        <w:rPr>
          <w:b w:val="0"/>
          <w:bCs w:val="0"/>
        </w:rPr>
        <w:t xml:space="preserve"> сільської ради.</w:t>
      </w:r>
    </w:p>
    <w:p w:rsidR="00AC29E1" w:rsidRDefault="00AC29E1" w:rsidP="00AC29E1">
      <w:pPr>
        <w:spacing w:line="240" w:lineRule="auto"/>
        <w:ind w:firstLine="567"/>
        <w:jc w:val="both"/>
        <w:rPr>
          <w:b w:val="0"/>
          <w:bCs w:val="0"/>
        </w:rPr>
      </w:pPr>
      <w:r>
        <w:rPr>
          <w:b w:val="0"/>
          <w:bCs w:val="0"/>
        </w:rPr>
        <w:lastRenderedPageBreak/>
        <w:t xml:space="preserve"> 6. Матеріально-технічні цінності місцевого матеріального резерву, придбані за рахунок коштів міського бюджету: обліковуються утримувачем матеріального резерву; відпускаються відповідно до п.4 цього розділу на підставі накладних на відпуск, виданих утримувачем матеріального резерву; списуються з обліку утримувачем резерву на підставі звітних документів про їх використання. Утримувачі резерву несуть відповідальність за наявність та збереженість матеріально-технічних цінностей, їх стан, облік та списання. Облік та списання матеріально-технічних засобів матеріального резерву здійснюється відповідно до порядку, встановленого чинним законодавством. </w:t>
      </w:r>
    </w:p>
    <w:p w:rsidR="00AC29E1" w:rsidRDefault="00AC29E1" w:rsidP="00AC29E1">
      <w:pPr>
        <w:spacing w:line="240" w:lineRule="auto"/>
        <w:ind w:firstLine="567"/>
        <w:jc w:val="both"/>
        <w:rPr>
          <w:b w:val="0"/>
          <w:bCs w:val="0"/>
        </w:rPr>
      </w:pPr>
      <w:r>
        <w:rPr>
          <w:b w:val="0"/>
          <w:bCs w:val="0"/>
        </w:rPr>
        <w:t xml:space="preserve">7. Видача, використання, списання цінностей або повернення до складу матеріального резерву майна довготривалого (багаторазового) використання, здійснюються на підставі рішення місцевої комісії з питань ТЕБ і НС з подальшим оформленням необхідних документів (актів, накладних, нарядів, звітів тощо) згідно з вимогами законодавства з питань фінансово-господарської діяльності. Кошти, отримані внаслідок реалізації матеріальних цінностей, спрямовуються на придбання і закладення до матеріального резерву аналогічних матеріальних цінностей. </w:t>
      </w:r>
    </w:p>
    <w:p w:rsidR="00AC29E1" w:rsidRDefault="00AC29E1" w:rsidP="00AC29E1">
      <w:pPr>
        <w:spacing w:after="0" w:line="240" w:lineRule="auto"/>
        <w:ind w:firstLine="567"/>
        <w:jc w:val="both"/>
        <w:rPr>
          <w:b w:val="0"/>
          <w:bCs w:val="0"/>
        </w:rPr>
      </w:pPr>
      <w:r>
        <w:rPr>
          <w:b w:val="0"/>
          <w:bCs w:val="0"/>
        </w:rPr>
        <w:t>8. Доставка матеріальних цінностей місцевого резерву до зони надзвичайної ситуації за окремим розпорядженням голови міської комісії з питань ТЕБ і НС покладається на структурні підрозділи міської ради, виконавчі органи селищних рад, міські спеціалізовані служби цивільного захисту, суб’єкти господарювання, на об'єктах (території) яких сталася надзвичайна ситуація, або інші юридичні особи.</w:t>
      </w:r>
    </w:p>
    <w:p w:rsidR="00AC29E1" w:rsidRDefault="00AC29E1" w:rsidP="00AC29E1">
      <w:pPr>
        <w:spacing w:after="0" w:line="240" w:lineRule="auto"/>
        <w:ind w:firstLine="567"/>
        <w:jc w:val="center"/>
      </w:pPr>
    </w:p>
    <w:p w:rsidR="00AC29E1" w:rsidRDefault="00AC29E1" w:rsidP="00AC29E1">
      <w:pPr>
        <w:spacing w:after="0" w:line="240" w:lineRule="auto"/>
        <w:ind w:firstLine="567"/>
        <w:jc w:val="center"/>
      </w:pPr>
      <w:r>
        <w:t>ІV. Звітність, контроль та відповідальність</w:t>
      </w:r>
    </w:p>
    <w:p w:rsidR="00AC29E1" w:rsidRDefault="00AC29E1" w:rsidP="00AC29E1">
      <w:pPr>
        <w:spacing w:after="0" w:line="240" w:lineRule="auto"/>
        <w:ind w:firstLine="567"/>
        <w:jc w:val="center"/>
      </w:pPr>
    </w:p>
    <w:p w:rsidR="00AC29E1" w:rsidRDefault="00AC29E1" w:rsidP="00AC29E1">
      <w:pPr>
        <w:spacing w:line="240" w:lineRule="auto"/>
        <w:ind w:firstLine="567"/>
        <w:jc w:val="both"/>
        <w:rPr>
          <w:b w:val="0"/>
          <w:bCs w:val="0"/>
        </w:rPr>
      </w:pPr>
      <w:r>
        <w:rPr>
          <w:b w:val="0"/>
          <w:bCs w:val="0"/>
        </w:rPr>
        <w:t xml:space="preserve">1. Сектор з питань цивільного захисту, пожежної безпеки, охорони праці, питань правопорядку, безпеки громадян та благоустрою </w:t>
      </w:r>
      <w:proofErr w:type="spellStart"/>
      <w:r>
        <w:rPr>
          <w:b w:val="0"/>
          <w:bCs w:val="0"/>
        </w:rPr>
        <w:t>Степанківської</w:t>
      </w:r>
      <w:proofErr w:type="spellEnd"/>
      <w:r>
        <w:rPr>
          <w:b w:val="0"/>
          <w:bCs w:val="0"/>
        </w:rPr>
        <w:t xml:space="preserve"> сільської ради: здійснює постійний моніторинг стану накопичення і поновлення місцевого матеріального резерву та щокварталу інформує Управління  цивільного захисту Черкаської ОДА, за формою, затвердженою наказом Державної служби України з надзвичайних ситуацій від 11.10.2014 № 578 «Про Табель термінових та строкових донесень з питань цивільного захисту»; розробляє та надає пропозиції щодо внесення змін і доповнень до номенклатури і обсягів місцевого матеріального резерву, готує бюджетні запити на фінансування заходів з його створення, нарощування і своєчасного поновлення; контролює роботу щодо створення, накопичення, збереження та використання об’єктових матеріальних резервів. </w:t>
      </w:r>
    </w:p>
    <w:p w:rsidR="00AC29E1" w:rsidRDefault="00AC29E1" w:rsidP="00AC29E1">
      <w:pPr>
        <w:spacing w:line="240" w:lineRule="auto"/>
        <w:ind w:firstLine="567"/>
        <w:jc w:val="both"/>
        <w:rPr>
          <w:b w:val="0"/>
          <w:bCs w:val="0"/>
        </w:rPr>
      </w:pPr>
      <w:r>
        <w:rPr>
          <w:b w:val="0"/>
          <w:bCs w:val="0"/>
        </w:rPr>
        <w:lastRenderedPageBreak/>
        <w:t xml:space="preserve">2. Керівники підприємств та установ, на балансі яких перебуває матеріальний резерв, повинні щороку проводити перевірку наявності, якості, умов зберігання, готовності до використання матеріальних цінностей та надавати відповідну інформацію місцевій комісії з питань ТЕБ і НС через сектор з питань цивільного захисту, пожежної безпеки, охорони праці, питань правопорядку, безпеки громадян та благоустрою </w:t>
      </w:r>
      <w:proofErr w:type="spellStart"/>
      <w:r>
        <w:rPr>
          <w:b w:val="0"/>
          <w:bCs w:val="0"/>
        </w:rPr>
        <w:t>Степанківської</w:t>
      </w:r>
      <w:proofErr w:type="spellEnd"/>
      <w:r>
        <w:rPr>
          <w:b w:val="0"/>
          <w:bCs w:val="0"/>
        </w:rPr>
        <w:t xml:space="preserve"> сільської ради. Забезпечувати належне зберігання матеріально-технічних засобів місцевого матеріального резерву, що перебувають на його балансі, підтримання їх у постійній готовності до використання для попередження та ліквідації наслідків надзвичайних ситуацій; </w:t>
      </w:r>
    </w:p>
    <w:p w:rsidR="00AC29E1" w:rsidRDefault="00AC29E1" w:rsidP="00AC29E1">
      <w:pPr>
        <w:spacing w:line="240" w:lineRule="auto"/>
        <w:ind w:firstLine="567"/>
        <w:jc w:val="both"/>
        <w:rPr>
          <w:b w:val="0"/>
          <w:bCs w:val="0"/>
        </w:rPr>
      </w:pPr>
      <w:r>
        <w:rPr>
          <w:b w:val="0"/>
          <w:bCs w:val="0"/>
        </w:rPr>
        <w:t xml:space="preserve">3. Відповідальність за створення, утримання і використання місцевого матеріального резерву несуть керівники підприємств та установ, призначених утримувачами (зберігачами) матеріального резерву, згідно з чинним законодавством. </w:t>
      </w:r>
    </w:p>
    <w:p w:rsidR="00AC29E1" w:rsidRDefault="00AC29E1" w:rsidP="00AC29E1">
      <w:pPr>
        <w:spacing w:line="240" w:lineRule="auto"/>
        <w:jc w:val="both"/>
        <w:rPr>
          <w:b w:val="0"/>
          <w:bCs w:val="0"/>
        </w:rPr>
      </w:pPr>
    </w:p>
    <w:p w:rsidR="00AC29E1" w:rsidRDefault="00AC29E1" w:rsidP="00AC29E1">
      <w:pPr>
        <w:spacing w:line="240" w:lineRule="auto"/>
        <w:jc w:val="both"/>
        <w:rPr>
          <w:b w:val="0"/>
          <w:bCs w:val="0"/>
        </w:rPr>
      </w:pPr>
      <w:r>
        <w:rPr>
          <w:b w:val="0"/>
          <w:bCs w:val="0"/>
        </w:rPr>
        <w:t>Секретар сільської ради, виконкому                                               Інна НЕВГОД</w:t>
      </w:r>
    </w:p>
    <w:p w:rsidR="009528BF" w:rsidRDefault="009528BF"/>
    <w:sectPr w:rsidR="00952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E1"/>
    <w:rsid w:val="000B326A"/>
    <w:rsid w:val="00235A55"/>
    <w:rsid w:val="00373CEA"/>
    <w:rsid w:val="005A59A3"/>
    <w:rsid w:val="007622BE"/>
    <w:rsid w:val="009528BF"/>
    <w:rsid w:val="00AC29E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B9CF6AC-1B3E-BA4B-BEAC-A6077B8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9E1"/>
    <w:pPr>
      <w:spacing w:line="256" w:lineRule="auto"/>
    </w:pPr>
    <w:rPr>
      <w:rFonts w:ascii="Times New Roman" w:hAnsi="Times New Roman" w:cs="Times New Roman"/>
      <w:b/>
      <w:bCs/>
      <w:kern w:val="0"/>
      <w:sz w:val="28"/>
      <w:szCs w:val="28"/>
      <w:lang w:val="uk-UA"/>
      <w14:ligatures w14:val="none"/>
    </w:rPr>
  </w:style>
  <w:style w:type="paragraph" w:styleId="1">
    <w:name w:val="heading 1"/>
    <w:basedOn w:val="a"/>
    <w:next w:val="a"/>
    <w:link w:val="10"/>
    <w:uiPriority w:val="9"/>
    <w:qFormat/>
    <w:rsid w:val="00AC29E1"/>
    <w:pPr>
      <w:keepNext/>
      <w:keepLines/>
      <w:spacing w:before="360" w:after="80" w:line="278" w:lineRule="auto"/>
      <w:outlineLvl w:val="0"/>
    </w:pPr>
    <w:rPr>
      <w:rFonts w:asciiTheme="majorHAnsi" w:eastAsiaTheme="majorEastAsia" w:hAnsiTheme="majorHAnsi" w:cstheme="majorBidi"/>
      <w:b w:val="0"/>
      <w:bCs w:val="0"/>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AC29E1"/>
    <w:pPr>
      <w:keepNext/>
      <w:keepLines/>
      <w:spacing w:before="160" w:after="80" w:line="278" w:lineRule="auto"/>
      <w:outlineLvl w:val="1"/>
    </w:pPr>
    <w:rPr>
      <w:rFonts w:asciiTheme="majorHAnsi" w:eastAsiaTheme="majorEastAsia" w:hAnsiTheme="majorHAnsi" w:cstheme="majorBidi"/>
      <w:b w:val="0"/>
      <w:bCs w:val="0"/>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AC29E1"/>
    <w:pPr>
      <w:keepNext/>
      <w:keepLines/>
      <w:spacing w:before="160" w:after="80" w:line="278" w:lineRule="auto"/>
      <w:outlineLvl w:val="2"/>
    </w:pPr>
    <w:rPr>
      <w:rFonts w:asciiTheme="minorHAnsi" w:eastAsiaTheme="majorEastAsia" w:hAnsiTheme="minorHAnsi" w:cstheme="majorBidi"/>
      <w:b w:val="0"/>
      <w:bCs w:val="0"/>
      <w:color w:val="0F4761" w:themeColor="accent1" w:themeShade="BF"/>
      <w:kern w:val="2"/>
      <w:lang w:val="ru-UA"/>
      <w14:ligatures w14:val="standardContextual"/>
    </w:rPr>
  </w:style>
  <w:style w:type="paragraph" w:styleId="4">
    <w:name w:val="heading 4"/>
    <w:basedOn w:val="a"/>
    <w:next w:val="a"/>
    <w:link w:val="40"/>
    <w:uiPriority w:val="9"/>
    <w:semiHidden/>
    <w:unhideWhenUsed/>
    <w:qFormat/>
    <w:rsid w:val="00AC29E1"/>
    <w:pPr>
      <w:keepNext/>
      <w:keepLines/>
      <w:spacing w:before="80" w:after="40" w:line="278" w:lineRule="auto"/>
      <w:outlineLvl w:val="3"/>
    </w:pPr>
    <w:rPr>
      <w:rFonts w:asciiTheme="minorHAnsi" w:eastAsiaTheme="majorEastAsia" w:hAnsiTheme="minorHAnsi" w:cstheme="majorBidi"/>
      <w:b w:val="0"/>
      <w:bCs w:val="0"/>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AC29E1"/>
    <w:pPr>
      <w:keepNext/>
      <w:keepLines/>
      <w:spacing w:before="80" w:after="40" w:line="278" w:lineRule="auto"/>
      <w:outlineLvl w:val="4"/>
    </w:pPr>
    <w:rPr>
      <w:rFonts w:asciiTheme="minorHAnsi" w:eastAsiaTheme="majorEastAsia" w:hAnsiTheme="minorHAnsi" w:cstheme="majorBidi"/>
      <w:b w:val="0"/>
      <w:bCs w:val="0"/>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AC29E1"/>
    <w:pPr>
      <w:keepNext/>
      <w:keepLines/>
      <w:spacing w:before="40" w:after="0" w:line="278" w:lineRule="auto"/>
      <w:outlineLvl w:val="5"/>
    </w:pPr>
    <w:rPr>
      <w:rFonts w:asciiTheme="minorHAnsi" w:eastAsiaTheme="majorEastAsia" w:hAnsiTheme="minorHAnsi" w:cstheme="majorBidi"/>
      <w:b w:val="0"/>
      <w:bCs w:val="0"/>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AC29E1"/>
    <w:pPr>
      <w:keepNext/>
      <w:keepLines/>
      <w:spacing w:before="40" w:after="0" w:line="278" w:lineRule="auto"/>
      <w:outlineLvl w:val="6"/>
    </w:pPr>
    <w:rPr>
      <w:rFonts w:asciiTheme="minorHAnsi" w:eastAsiaTheme="majorEastAsia" w:hAnsiTheme="minorHAnsi" w:cstheme="majorBidi"/>
      <w:b w:val="0"/>
      <w:bCs w:val="0"/>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AC29E1"/>
    <w:pPr>
      <w:keepNext/>
      <w:keepLines/>
      <w:spacing w:after="0" w:line="278" w:lineRule="auto"/>
      <w:outlineLvl w:val="7"/>
    </w:pPr>
    <w:rPr>
      <w:rFonts w:asciiTheme="minorHAnsi" w:eastAsiaTheme="majorEastAsia" w:hAnsiTheme="minorHAnsi" w:cstheme="majorBidi"/>
      <w:b w:val="0"/>
      <w:bCs w:val="0"/>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AC29E1"/>
    <w:pPr>
      <w:keepNext/>
      <w:keepLines/>
      <w:spacing w:after="0" w:line="278" w:lineRule="auto"/>
      <w:outlineLvl w:val="8"/>
    </w:pPr>
    <w:rPr>
      <w:rFonts w:asciiTheme="minorHAnsi" w:eastAsiaTheme="majorEastAsia" w:hAnsiTheme="minorHAnsi" w:cstheme="majorBidi"/>
      <w:b w:val="0"/>
      <w:bCs w:val="0"/>
      <w:color w:val="272727" w:themeColor="text1" w:themeTint="D8"/>
      <w:kern w:val="2"/>
      <w:sz w:val="24"/>
      <w:szCs w:val="24"/>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9E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29E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29E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29E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29E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29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29E1"/>
    <w:rPr>
      <w:rFonts w:eastAsiaTheme="majorEastAsia" w:cstheme="majorBidi"/>
      <w:color w:val="595959" w:themeColor="text1" w:themeTint="A6"/>
    </w:rPr>
  </w:style>
  <w:style w:type="character" w:customStyle="1" w:styleId="80">
    <w:name w:val="Заголовок 8 Знак"/>
    <w:basedOn w:val="a0"/>
    <w:link w:val="8"/>
    <w:uiPriority w:val="9"/>
    <w:semiHidden/>
    <w:rsid w:val="00AC29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29E1"/>
    <w:rPr>
      <w:rFonts w:eastAsiaTheme="majorEastAsia" w:cstheme="majorBidi"/>
      <w:color w:val="272727" w:themeColor="text1" w:themeTint="D8"/>
    </w:rPr>
  </w:style>
  <w:style w:type="paragraph" w:styleId="a3">
    <w:name w:val="Title"/>
    <w:basedOn w:val="a"/>
    <w:next w:val="a"/>
    <w:link w:val="a4"/>
    <w:uiPriority w:val="10"/>
    <w:qFormat/>
    <w:rsid w:val="00AC29E1"/>
    <w:pPr>
      <w:spacing w:after="80" w:line="240" w:lineRule="auto"/>
      <w:contextualSpacing/>
    </w:pPr>
    <w:rPr>
      <w:rFonts w:asciiTheme="majorHAnsi" w:eastAsiaTheme="majorEastAsia" w:hAnsiTheme="majorHAnsi" w:cstheme="majorBidi"/>
      <w:b w:val="0"/>
      <w:bCs w:val="0"/>
      <w:spacing w:val="-10"/>
      <w:kern w:val="28"/>
      <w:sz w:val="56"/>
      <w:szCs w:val="56"/>
      <w:lang w:val="ru-UA"/>
      <w14:ligatures w14:val="standardContextual"/>
    </w:rPr>
  </w:style>
  <w:style w:type="character" w:customStyle="1" w:styleId="a4">
    <w:name w:val="Заголовок Знак"/>
    <w:basedOn w:val="a0"/>
    <w:link w:val="a3"/>
    <w:uiPriority w:val="10"/>
    <w:rsid w:val="00AC2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9E1"/>
    <w:pPr>
      <w:numPr>
        <w:ilvl w:val="1"/>
      </w:numPr>
      <w:spacing w:line="278" w:lineRule="auto"/>
    </w:pPr>
    <w:rPr>
      <w:rFonts w:asciiTheme="minorHAnsi" w:eastAsiaTheme="majorEastAsia" w:hAnsiTheme="minorHAnsi" w:cstheme="majorBidi"/>
      <w:b w:val="0"/>
      <w:bCs w:val="0"/>
      <w:color w:val="595959" w:themeColor="text1" w:themeTint="A6"/>
      <w:spacing w:val="15"/>
      <w:kern w:val="2"/>
      <w:lang w:val="ru-UA"/>
      <w14:ligatures w14:val="standardContextual"/>
    </w:rPr>
  </w:style>
  <w:style w:type="character" w:customStyle="1" w:styleId="a6">
    <w:name w:val="Подзаголовок Знак"/>
    <w:basedOn w:val="a0"/>
    <w:link w:val="a5"/>
    <w:uiPriority w:val="11"/>
    <w:rsid w:val="00AC29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29E1"/>
    <w:pPr>
      <w:spacing w:before="160" w:line="278" w:lineRule="auto"/>
      <w:jc w:val="center"/>
    </w:pPr>
    <w:rPr>
      <w:rFonts w:asciiTheme="minorHAnsi" w:hAnsiTheme="minorHAnsi" w:cstheme="minorBidi"/>
      <w:b w:val="0"/>
      <w:bCs w:val="0"/>
      <w:i/>
      <w:iCs/>
      <w:color w:val="404040" w:themeColor="text1" w:themeTint="BF"/>
      <w:kern w:val="2"/>
      <w:sz w:val="24"/>
      <w:szCs w:val="24"/>
      <w:lang w:val="ru-UA"/>
      <w14:ligatures w14:val="standardContextual"/>
    </w:rPr>
  </w:style>
  <w:style w:type="character" w:customStyle="1" w:styleId="22">
    <w:name w:val="Цитата 2 Знак"/>
    <w:basedOn w:val="a0"/>
    <w:link w:val="21"/>
    <w:uiPriority w:val="29"/>
    <w:rsid w:val="00AC29E1"/>
    <w:rPr>
      <w:i/>
      <w:iCs/>
      <w:color w:val="404040" w:themeColor="text1" w:themeTint="BF"/>
    </w:rPr>
  </w:style>
  <w:style w:type="paragraph" w:styleId="a7">
    <w:name w:val="List Paragraph"/>
    <w:basedOn w:val="a"/>
    <w:uiPriority w:val="34"/>
    <w:qFormat/>
    <w:rsid w:val="00AC29E1"/>
    <w:pPr>
      <w:spacing w:line="278" w:lineRule="auto"/>
      <w:ind w:left="720"/>
      <w:contextualSpacing/>
    </w:pPr>
    <w:rPr>
      <w:rFonts w:asciiTheme="minorHAnsi" w:hAnsiTheme="minorHAnsi" w:cstheme="minorBidi"/>
      <w:b w:val="0"/>
      <w:bCs w:val="0"/>
      <w:kern w:val="2"/>
      <w:sz w:val="24"/>
      <w:szCs w:val="24"/>
      <w:lang w:val="ru-UA"/>
      <w14:ligatures w14:val="standardContextual"/>
    </w:rPr>
  </w:style>
  <w:style w:type="character" w:styleId="a8">
    <w:name w:val="Intense Emphasis"/>
    <w:basedOn w:val="a0"/>
    <w:uiPriority w:val="21"/>
    <w:qFormat/>
    <w:rsid w:val="00AC29E1"/>
    <w:rPr>
      <w:i/>
      <w:iCs/>
      <w:color w:val="0F4761" w:themeColor="accent1" w:themeShade="BF"/>
    </w:rPr>
  </w:style>
  <w:style w:type="paragraph" w:styleId="a9">
    <w:name w:val="Intense Quote"/>
    <w:basedOn w:val="a"/>
    <w:next w:val="a"/>
    <w:link w:val="aa"/>
    <w:uiPriority w:val="30"/>
    <w:qFormat/>
    <w:rsid w:val="00AC29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b w:val="0"/>
      <w:bCs w:val="0"/>
      <w:i/>
      <w:iCs/>
      <w:color w:val="0F4761" w:themeColor="accent1" w:themeShade="BF"/>
      <w:kern w:val="2"/>
      <w:sz w:val="24"/>
      <w:szCs w:val="24"/>
      <w:lang w:val="ru-UA"/>
      <w14:ligatures w14:val="standardContextual"/>
    </w:rPr>
  </w:style>
  <w:style w:type="character" w:customStyle="1" w:styleId="aa">
    <w:name w:val="Выделенная цитата Знак"/>
    <w:basedOn w:val="a0"/>
    <w:link w:val="a9"/>
    <w:uiPriority w:val="30"/>
    <w:rsid w:val="00AC29E1"/>
    <w:rPr>
      <w:i/>
      <w:iCs/>
      <w:color w:val="0F4761" w:themeColor="accent1" w:themeShade="BF"/>
    </w:rPr>
  </w:style>
  <w:style w:type="character" w:styleId="ab">
    <w:name w:val="Intense Reference"/>
    <w:basedOn w:val="a0"/>
    <w:uiPriority w:val="32"/>
    <w:qFormat/>
    <w:rsid w:val="00AC2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2025-03-14T07:01:00Z</dcterms:created>
  <dcterms:modified xsi:type="dcterms:W3CDTF">2025-03-14T07:01:00Z</dcterms:modified>
</cp:coreProperties>
</file>